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TECHNICAL FINDINGS REPORT</w:t>
      </w:r>
    </w:p>
    <w:p>
      <w:pPr>
        <w:pStyle w:val="Title"/>
      </w:pPr>
      <w:r>
        <w:t>ABAD Adaptive ZD30 v4.3</w:t>
      </w:r>
    </w:p>
    <w:p>
      <w:pPr>
        <w:pStyle w:val="Subtitle"/>
      </w:pPr>
      <w:r>
        <w:t>Within-Mode Contributor Innovation Atlas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10"/>
      </w:tblPr>
      <w:tblGrid>
        <w:gridCol w:w="2200"/>
        <w:gridCol w:w="7160"/>
      </w:tblGrid>
      <w:tr>
        <w:trPr/>
        <w:tc>
          <w:tcPr>
            <w:tcW w:type="dxa" w:w="2200"/>
            <w:vAlign w:val="center"/>
            <w:shd w:fill="F2F4F7"/>
            <w:tcMar>
              <w:top w:w="75" w:type="dxa"/>
              <w:bottom w:w="75" w:type="dxa"/>
              <w:start w:w="110" w:type="dxa"/>
              <w:end w:w="110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Date</w:t>
            </w:r>
          </w:p>
        </w:tc>
        <w:tc>
          <w:tcPr>
            <w:tcW w:type="dxa" w:w="7160"/>
            <w:vAlign w:val="center"/>
            <w:tcMar>
              <w:top w:w="75" w:type="dxa"/>
              <w:bottom w:w="75" w:type="dxa"/>
              <w:start w:w="110" w:type="dxa"/>
              <w:end w:w="110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 w:val="0"/>
                <w:sz w:val="17"/>
              </w:rPr>
              <w:t>15 August 2026</w:t>
            </w:r>
          </w:p>
        </w:tc>
      </w:tr>
      <w:tr>
        <w:trPr/>
        <w:tc>
          <w:tcPr>
            <w:tcW w:type="dxa" w:w="2200"/>
            <w:vAlign w:val="center"/>
            <w:shd w:fill="F2F4F7"/>
            <w:tcMar>
              <w:top w:w="75" w:type="dxa"/>
              <w:bottom w:w="75" w:type="dxa"/>
              <w:start w:w="110" w:type="dxa"/>
              <w:end w:w="110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Decision</w:t>
            </w:r>
          </w:p>
        </w:tc>
        <w:tc>
          <w:tcPr>
            <w:tcW w:type="dxa" w:w="7160"/>
            <w:vAlign w:val="center"/>
            <w:tcMar>
              <w:top w:w="75" w:type="dxa"/>
              <w:bottom w:w="75" w:type="dxa"/>
              <w:start w:w="110" w:type="dxa"/>
              <w:end w:w="110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 w:val="0"/>
                <w:sz w:val="17"/>
              </w:rPr>
              <w:t>PASS — FOUR FROZEN CANDIDATE CONTRIBUTION BLOCKS</w:t>
            </w:r>
          </w:p>
        </w:tc>
      </w:tr>
      <w:tr>
        <w:trPr/>
        <w:tc>
          <w:tcPr>
            <w:tcW w:type="dxa" w:w="2200"/>
            <w:vAlign w:val="center"/>
            <w:shd w:fill="F2F4F7"/>
            <w:tcMar>
              <w:top w:w="75" w:type="dxa"/>
              <w:bottom w:w="75" w:type="dxa"/>
              <w:start w:w="110" w:type="dxa"/>
              <w:end w:w="110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Parent constraint</w:t>
            </w:r>
          </w:p>
        </w:tc>
        <w:tc>
          <w:tcPr>
            <w:tcW w:type="dxa" w:w="7160"/>
            <w:vAlign w:val="center"/>
            <w:tcMar>
              <w:top w:w="75" w:type="dxa"/>
              <w:bottom w:w="75" w:type="dxa"/>
              <w:start w:w="110" w:type="dxa"/>
              <w:end w:w="110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 w:val="0"/>
                <w:sz w:val="17"/>
              </w:rPr>
              <w:t>Exact v4.2 G1/G2 folio assignments</w:t>
            </w:r>
          </w:p>
        </w:tc>
      </w:tr>
      <w:tr>
        <w:trPr/>
        <w:tc>
          <w:tcPr>
            <w:tcW w:type="dxa" w:w="2200"/>
            <w:vAlign w:val="center"/>
            <w:shd w:fill="F2F4F7"/>
            <w:tcMar>
              <w:top w:w="75" w:type="dxa"/>
              <w:bottom w:w="75" w:type="dxa"/>
              <w:start w:w="110" w:type="dxa"/>
              <w:end w:w="110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Validation</w:t>
            </w:r>
          </w:p>
        </w:tc>
        <w:tc>
          <w:tcPr>
            <w:tcW w:type="dxa" w:w="7160"/>
            <w:vAlign w:val="center"/>
            <w:tcMar>
              <w:top w:w="75" w:type="dxa"/>
              <w:bottom w:w="75" w:type="dxa"/>
              <w:start w:w="110" w:type="dxa"/>
              <w:end w:w="110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 w:val="0"/>
                <w:sz w:val="17"/>
              </w:rPr>
              <w:t>200 rediscovery nulls per parent; Holm correction</w:t>
            </w:r>
          </w:p>
        </w:tc>
      </w:tr>
      <w:tr>
        <w:trPr/>
        <w:tc>
          <w:tcPr>
            <w:tcW w:type="dxa" w:w="2200"/>
            <w:vAlign w:val="center"/>
            <w:shd w:fill="F2F4F7"/>
            <w:tcMar>
              <w:top w:w="75" w:type="dxa"/>
              <w:bottom w:w="75" w:type="dxa"/>
              <w:start w:w="110" w:type="dxa"/>
              <w:end w:w="110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7"/>
              </w:rPr>
              <w:t>Boundary</w:t>
            </w:r>
          </w:p>
        </w:tc>
        <w:tc>
          <w:tcPr>
            <w:tcW w:type="dxa" w:w="7160"/>
            <w:vAlign w:val="center"/>
            <w:tcMar>
              <w:top w:w="75" w:type="dxa"/>
              <w:bottom w:w="75" w:type="dxa"/>
              <w:start w:w="110" w:type="dxa"/>
              <w:end w:w="110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 w:val="0"/>
                <w:sz w:val="17"/>
              </w:rPr>
              <w:t>Candidate contributor blocks, not yet identified persons or languages</w:t>
            </w:r>
          </w:p>
        </w:tc>
      </w:tr>
    </w:tbl>
    <w:p>
      <w:pPr>
        <w:pStyle w:val="Heading1"/>
      </w:pPr>
      <w:r>
        <w:t>Executive finding</w:t>
      </w:r>
    </w:p>
    <w:p>
      <w:pPr>
        <w:spacing w:before="60" w:after="180"/>
        <w:ind w:left="173" w:right="173"/>
        <w:shd w:fill="DDEFE4"/>
      </w:pPr>
      <w:r>
        <w:rPr>
          <w:b/>
          <w:color w:val="0B2545"/>
        </w:rPr>
        <w:t xml:space="preserve">Outcome: </w:t>
      </w:r>
      <w:r>
        <w:t>After removing each parent mode's shared structural core, both G1 and G2 divide into two stable residual subgroups. Both discoveries survive full search-aware controls and Holm correction (adjusted p = 0.00995 each).</w:t>
      </w:r>
    </w:p>
    <w:p>
      <w:r>
        <w:t>The frozen atlas now contains four candidate contribution blocks across 223 folios. Assignments are exceptionally stable. One block, G2-S1, aligns closely with Hand 1; the other three remain mixtures of hands and therefore may reflect tasks, exemplars, production modules, or additional unresolved contributors.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5"/>
      </w:tblPr>
      <w:tblGrid>
        <w:gridCol w:w="1200"/>
        <w:gridCol w:w="1200"/>
        <w:gridCol w:w="1800"/>
        <w:gridCol w:w="1400"/>
        <w:gridCol w:w="1700"/>
        <w:gridCol w:w="2060"/>
      </w:tblGrid>
      <w:tr>
        <w:trPr/>
        <w:tc>
          <w:tcPr>
            <w:tcW w:type="dxa" w:w="12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Parent</w:t>
            </w:r>
          </w:p>
        </w:tc>
        <w:tc>
          <w:tcPr>
            <w:tcW w:type="dxa" w:w="12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Subgroups</w:t>
            </w:r>
          </w:p>
        </w:tc>
        <w:tc>
          <w:tcPr>
            <w:tcW w:type="dxa" w:w="18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Residual gain</w:t>
            </w:r>
          </w:p>
        </w:tc>
        <w:tc>
          <w:tcPr>
            <w:tcW w:type="dxa" w:w="14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Holm p</w:t>
            </w:r>
          </w:p>
        </w:tc>
        <w:tc>
          <w:tcPr>
            <w:tcW w:type="dxa" w:w="17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Stability</w:t>
            </w:r>
          </w:p>
        </w:tc>
        <w:tc>
          <w:tcPr>
            <w:tcW w:type="dxa" w:w="206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Decision</w:t>
            </w:r>
          </w:p>
        </w:tc>
      </w:tr>
      <w:tr>
        <w:trPr/>
        <w:tc>
          <w:tcPr>
            <w:tcW w:type="dxa" w:w="12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G1</w:t>
            </w:r>
          </w:p>
        </w:tc>
        <w:tc>
          <w:tcPr>
            <w:tcW w:type="dxa" w:w="12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2</w:t>
            </w:r>
          </w:p>
        </w:tc>
        <w:tc>
          <w:tcPr>
            <w:tcW w:type="dxa" w:w="18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0.00839</w:t>
            </w:r>
          </w:p>
        </w:tc>
        <w:tc>
          <w:tcPr>
            <w:tcW w:type="dxa" w:w="14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0.00995</w:t>
            </w:r>
          </w:p>
        </w:tc>
        <w:tc>
          <w:tcPr>
            <w:tcW w:type="dxa" w:w="17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99.02%</w:t>
            </w:r>
          </w:p>
        </w:tc>
        <w:tc>
          <w:tcPr>
            <w:tcW w:type="dxa" w:w="20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PASS</w:t>
            </w:r>
          </w:p>
        </w:tc>
      </w:tr>
      <w:tr>
        <w:trPr/>
        <w:tc>
          <w:tcPr>
            <w:tcW w:type="dxa" w:w="12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G2</w:t>
            </w:r>
          </w:p>
        </w:tc>
        <w:tc>
          <w:tcPr>
            <w:tcW w:type="dxa" w:w="12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2</w:t>
            </w:r>
          </w:p>
        </w:tc>
        <w:tc>
          <w:tcPr>
            <w:tcW w:type="dxa" w:w="18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0.01333</w:t>
            </w:r>
          </w:p>
        </w:tc>
        <w:tc>
          <w:tcPr>
            <w:tcW w:type="dxa" w:w="14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0.00995</w:t>
            </w:r>
          </w:p>
        </w:tc>
        <w:tc>
          <w:tcPr>
            <w:tcW w:type="dxa" w:w="17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99.79%</w:t>
            </w:r>
          </w:p>
        </w:tc>
        <w:tc>
          <w:tcPr>
            <w:tcW w:type="dxa" w:w="20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PASS</w:t>
            </w:r>
          </w:p>
        </w:tc>
      </w:tr>
    </w:tbl>
    <w:p>
      <w:pPr>
        <w:spacing w:after="20"/>
      </w:pPr>
    </w:p>
    <w:p>
      <w:pPr>
        <w:pStyle w:val="Heading1"/>
      </w:pPr>
      <w:r>
        <w:t>Are we close to cracking it?</w:t>
      </w:r>
    </w:p>
    <w:p>
      <w:pPr>
        <w:spacing w:before="60" w:after="180"/>
        <w:ind w:left="173" w:right="173"/>
        <w:shd w:fill="FFF2CC"/>
      </w:pPr>
      <w:r>
        <w:rPr>
          <w:b/>
          <w:color w:val="0B2545"/>
        </w:rPr>
        <w:t xml:space="preserve">Honest answer: </w:t>
      </w:r>
      <w:r>
        <w:t>We are substantially closer to testing decryption hypotheses correctly, but we have not cracked the Voynich and cannot establish priority over every other research program. The breakthrough is segmentation: language tests no longer need to average incompatible structural blocks together.</w:t>
      </w:r>
    </w:p>
    <w:p>
      <w:r>
        <w:br w:type="page"/>
      </w:r>
    </w:p>
    <w:p>
      <w:pPr>
        <w:pStyle w:val="Heading1"/>
      </w:pPr>
      <w:r>
        <w:t>1. Frozen candidate blocks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5"/>
      </w:tblPr>
      <w:tblGrid>
        <w:gridCol w:w="1050"/>
        <w:gridCol w:w="850"/>
        <w:gridCol w:w="1300"/>
        <w:gridCol w:w="3600"/>
        <w:gridCol w:w="2560"/>
      </w:tblGrid>
      <w:tr>
        <w:trPr/>
        <w:tc>
          <w:tcPr>
            <w:tcW w:type="dxa" w:w="105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5"/>
              </w:rPr>
              <w:t>Block</w:t>
            </w:r>
          </w:p>
        </w:tc>
        <w:tc>
          <w:tcPr>
            <w:tcW w:type="dxa" w:w="85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5"/>
              </w:rPr>
              <w:t>Folios</w:t>
            </w:r>
          </w:p>
        </w:tc>
        <w:tc>
          <w:tcPr>
            <w:tcW w:type="dxa" w:w="13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5"/>
              </w:rPr>
              <w:t>Stability</w:t>
            </w:r>
          </w:p>
        </w:tc>
        <w:tc>
          <w:tcPr>
            <w:tcW w:type="dxa" w:w="36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5"/>
              </w:rPr>
              <w:t>Hand composition</w:t>
            </w:r>
          </w:p>
        </w:tc>
        <w:tc>
          <w:tcPr>
            <w:tcW w:type="dxa" w:w="256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5"/>
              </w:rPr>
              <w:t>Currier composition</w:t>
            </w:r>
          </w:p>
        </w:tc>
      </w:tr>
      <w:tr>
        <w:trPr/>
        <w:tc>
          <w:tcPr>
            <w:tcW w:type="dxa" w:w="105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G1-S1</w:t>
            </w:r>
          </w:p>
        </w:tc>
        <w:tc>
          <w:tcPr>
            <w:tcW w:type="dxa" w:w="85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52</w:t>
            </w:r>
          </w:p>
        </w:tc>
        <w:tc>
          <w:tcPr>
            <w:tcW w:type="dxa" w:w="13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99.23%</w:t>
            </w:r>
          </w:p>
        </w:tc>
        <w:tc>
          <w:tcPr>
            <w:tcW w:type="dxa" w:w="36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3 (19), 2 (18), 1 (12), 5 (2), 4 (1)</w:t>
            </w:r>
          </w:p>
        </w:tc>
        <w:tc>
          <w:tcPr>
            <w:tcW w:type="dxa" w:w="25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B (38), A (13), ? (1)</w:t>
            </w:r>
          </w:p>
        </w:tc>
      </w:tr>
      <w:tr>
        <w:trPr/>
        <w:tc>
          <w:tcPr>
            <w:tcW w:type="dxa" w:w="105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G1-S2</w:t>
            </w:r>
          </w:p>
        </w:tc>
        <w:tc>
          <w:tcPr>
            <w:tcW w:type="dxa" w:w="85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30</w:t>
            </w:r>
          </w:p>
        </w:tc>
        <w:tc>
          <w:tcPr>
            <w:tcW w:type="dxa" w:w="13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98.67%</w:t>
            </w:r>
          </w:p>
        </w:tc>
        <w:tc>
          <w:tcPr>
            <w:tcW w:type="dxa" w:w="36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2 (20), 3 (9), 5 (1)</w:t>
            </w:r>
          </w:p>
        </w:tc>
        <w:tc>
          <w:tcPr>
            <w:tcW w:type="dxa" w:w="25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B (30)</w:t>
            </w:r>
          </w:p>
        </w:tc>
      </w:tr>
      <w:tr>
        <w:trPr/>
        <w:tc>
          <w:tcPr>
            <w:tcW w:type="dxa" w:w="105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G2-S1</w:t>
            </w:r>
          </w:p>
        </w:tc>
        <w:tc>
          <w:tcPr>
            <w:tcW w:type="dxa" w:w="85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84</w:t>
            </w:r>
          </w:p>
        </w:tc>
        <w:tc>
          <w:tcPr>
            <w:tcW w:type="dxa" w:w="13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99.88%</w:t>
            </w:r>
          </w:p>
        </w:tc>
        <w:tc>
          <w:tcPr>
            <w:tcW w:type="dxa" w:w="36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1 (81), 3 (2), 2 (1)</w:t>
            </w:r>
          </w:p>
        </w:tc>
        <w:tc>
          <w:tcPr>
            <w:tcW w:type="dxa" w:w="25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A (81), B (2), ? (1)</w:t>
            </w:r>
          </w:p>
        </w:tc>
      </w:tr>
      <w:tr>
        <w:trPr/>
        <w:tc>
          <w:tcPr>
            <w:tcW w:type="dxa" w:w="105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G2-S2</w:t>
            </w:r>
          </w:p>
        </w:tc>
        <w:tc>
          <w:tcPr>
            <w:tcW w:type="dxa" w:w="85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57</w:t>
            </w:r>
          </w:p>
        </w:tc>
        <w:tc>
          <w:tcPr>
            <w:tcW w:type="dxa" w:w="13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99.65%</w:t>
            </w:r>
          </w:p>
        </w:tc>
        <w:tc>
          <w:tcPr>
            <w:tcW w:type="dxa" w:w="36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4 (25), 1 (20), 2 (7), 5 (4), 3 (1)</w:t>
            </w:r>
          </w:p>
        </w:tc>
        <w:tc>
          <w:tcPr>
            <w:tcW w:type="dxa" w:w="25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? (25), A (20), B (12)</w:t>
            </w:r>
          </w:p>
        </w:tc>
      </w:tr>
    </w:tbl>
    <w:p>
      <w:pPr>
        <w:spacing w:after="20"/>
      </w:pPr>
    </w:p>
    <w:p>
      <w:pPr>
        <w:spacing w:before="60" w:after="180"/>
        <w:ind w:left="173" w:right="173"/>
        <w:shd w:fill="DDEFE4"/>
      </w:pPr>
      <w:r>
        <w:rPr>
          <w:b/>
          <w:color w:val="0B2545"/>
        </w:rPr>
        <w:t xml:space="preserve">Strongest writer-like block: </w:t>
      </w:r>
      <w:r>
        <w:t>G2-S1 contains 84 folios: 81 Hand 1, 2 Hand 3, and 1 Hand 2. Its 99.88% stability makes it the cleanest current candidate for an individual scribal contribution.</w:t>
      </w:r>
    </w:p>
    <w:p>
      <w:r>
        <w:t>G1-S2 is entirely Currier B and concentrated in quires M/T, with 20 Hand 2 and 9 Hand 3 folios. G1-S1 is broader. G2-S2 contains most Hand 4 material but also 20 Hand 1 folios and several other hands.</w:t>
      </w:r>
    </w:p>
    <w:p>
      <w:pPr>
        <w:pStyle w:val="Heading1"/>
      </w:pPr>
      <w:r>
        <w:t>2. Why these are not automatically writers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5"/>
      </w:tblPr>
      <w:tblGrid>
        <w:gridCol w:w="3000"/>
        <w:gridCol w:w="6360"/>
      </w:tblGrid>
      <w:tr>
        <w:trPr/>
        <w:tc>
          <w:tcPr>
            <w:tcW w:type="dxa" w:w="30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Block pattern</w:t>
            </w:r>
          </w:p>
        </w:tc>
        <w:tc>
          <w:tcPr>
            <w:tcW w:type="dxa" w:w="636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Competing explanations</w:t>
            </w:r>
          </w:p>
        </w:tc>
      </w:tr>
      <w:tr>
        <w:trPr/>
        <w:tc>
          <w:tcPr>
            <w:tcW w:type="dxa" w:w="30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Near-single-hand concentration</w:t>
            </w:r>
          </w:p>
        </w:tc>
        <w:tc>
          <w:tcPr>
            <w:tcW w:type="dxa" w:w="63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Individual scribe, exemplar, or consistent assigned task</w:t>
            </w:r>
          </w:p>
        </w:tc>
      </w:tr>
      <w:tr>
        <w:trPr/>
        <w:tc>
          <w:tcPr>
            <w:tcW w:type="dxa" w:w="30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Mixed hands within one block</w:t>
            </w:r>
          </w:p>
        </w:tc>
        <w:tc>
          <w:tcPr>
            <w:tcW w:type="dxa" w:w="63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Shared exemplar, coordinated production stage, common subject/layout function</w:t>
            </w:r>
          </w:p>
        </w:tc>
      </w:tr>
      <w:tr>
        <w:trPr/>
        <w:tc>
          <w:tcPr>
            <w:tcW w:type="dxa" w:w="30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Quire concentration</w:t>
            </w:r>
          </w:p>
        </w:tc>
        <w:tc>
          <w:tcPr>
            <w:tcW w:type="dxa" w:w="63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Batch production, later assembly, or codicological section</w:t>
            </w:r>
          </w:p>
        </w:tc>
      </w:tr>
      <w:tr>
        <w:trPr/>
        <w:tc>
          <w:tcPr>
            <w:tcW w:type="dxa" w:w="30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Currier concentration</w:t>
            </w:r>
          </w:p>
        </w:tc>
        <w:tc>
          <w:tcPr>
            <w:tcW w:type="dxa" w:w="63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Inherited encoding regime or linguistic/register difference</w:t>
            </w:r>
          </w:p>
        </w:tc>
      </w:tr>
    </w:tbl>
    <w:p>
      <w:pPr>
        <w:spacing w:after="20"/>
      </w:pPr>
    </w:p>
    <w:p>
      <w:r>
        <w:t>Structure can identify reproducible operational behavior; it cannot by itself identify a historical person. Paleography and material evidence remain necessary for that step.</w:t>
      </w:r>
    </w:p>
    <w:p>
      <w:r>
        <w:br w:type="page"/>
      </w:r>
    </w:p>
    <w:p>
      <w:pPr>
        <w:pStyle w:val="Heading1"/>
      </w:pPr>
      <w:r>
        <w:t>3. Exact validation design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5"/>
      </w:tblPr>
      <w:tblGrid>
        <w:gridCol w:w="2700"/>
        <w:gridCol w:w="6660"/>
      </w:tblGrid>
      <w:tr>
        <w:trPr/>
        <w:tc>
          <w:tcPr>
            <w:tcW w:type="dxa" w:w="27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Control</w:t>
            </w:r>
          </w:p>
        </w:tc>
        <w:tc>
          <w:tcPr>
            <w:tcW w:type="dxa" w:w="666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Frozen rule</w:t>
            </w:r>
          </w:p>
        </w:tc>
      </w:tr>
      <w:tr>
        <w:trPr/>
        <w:tc>
          <w:tcPr>
            <w:tcW w:type="dxa" w:w="27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Parent membership</w:t>
            </w:r>
          </w:p>
        </w:tc>
        <w:tc>
          <w:tcPr>
            <w:tcW w:type="dxa" w:w="66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No folio could move between v4.2 G1 and G2</w:t>
            </w:r>
          </w:p>
        </w:tc>
      </w:tr>
      <w:tr>
        <w:trPr/>
        <w:tc>
          <w:tcPr>
            <w:tcW w:type="dxa" w:w="27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Shared core</w:t>
            </w:r>
          </w:p>
        </w:tc>
        <w:tc>
          <w:tcPr>
            <w:tcW w:type="dxa" w:w="66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Training centroid inside each parent mode</w:t>
            </w:r>
          </w:p>
        </w:tc>
      </w:tr>
      <w:tr>
        <w:trPr/>
        <w:tc>
          <w:tcPr>
            <w:tcW w:type="dxa" w:w="27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Innovation search</w:t>
            </w:r>
          </w:p>
        </w:tc>
        <w:tc>
          <w:tcPr>
            <w:tcW w:type="dxa" w:w="66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K = 2–5 residual clusters selected on training folios only</w:t>
            </w:r>
          </w:p>
        </w:tc>
      </w:tr>
      <w:tr>
        <w:trPr/>
        <w:tc>
          <w:tcPr>
            <w:tcW w:type="dxa" w:w="27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Held-out evidence</w:t>
            </w:r>
          </w:p>
        </w:tc>
        <w:tc>
          <w:tcPr>
            <w:tcW w:type="dxa" w:w="66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Distance gain beyond the parent training centroid</w:t>
            </w:r>
          </w:p>
        </w:tc>
      </w:tr>
      <w:tr>
        <w:trPr/>
        <w:tc>
          <w:tcPr>
            <w:tcW w:type="dxa" w:w="27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Null</w:t>
            </w:r>
          </w:p>
        </w:tc>
        <w:tc>
          <w:tcPr>
            <w:tcW w:type="dxa" w:w="66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Destroy residual feature co-organization within parent + geometry strata</w:t>
            </w:r>
          </w:p>
        </w:tc>
      </w:tr>
      <w:tr>
        <w:trPr/>
        <w:tc>
          <w:tcPr>
            <w:tcW w:type="dxa" w:w="27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Selection pressure</w:t>
            </w:r>
          </w:p>
        </w:tc>
        <w:tc>
          <w:tcPr>
            <w:tcW w:type="dxa" w:w="66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Every one of 200 nulls reran subgroup discovery</w:t>
            </w:r>
          </w:p>
        </w:tc>
      </w:tr>
      <w:tr>
        <w:trPr/>
        <w:tc>
          <w:tcPr>
            <w:tcW w:type="dxa" w:w="27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Multiplicity</w:t>
            </w:r>
          </w:p>
        </w:tc>
        <w:tc>
          <w:tcPr>
            <w:tcW w:type="dxa" w:w="66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Holm correction across the two parent-group tests</w:t>
            </w:r>
          </w:p>
        </w:tc>
      </w:tr>
      <w:tr>
        <w:trPr/>
        <w:tc>
          <w:tcPr>
            <w:tcW w:type="dxa" w:w="27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Freeze</w:t>
            </w:r>
          </w:p>
        </w:tc>
        <w:tc>
          <w:tcPr>
            <w:tcW w:type="dxa" w:w="66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Ten repeated five-fold assignments before label comparison</w:t>
            </w:r>
          </w:p>
        </w:tc>
      </w:tr>
    </w:tbl>
    <w:p>
      <w:pPr>
        <w:spacing w:after="20"/>
      </w:pPr>
    </w:p>
    <w:p>
      <w:pPr>
        <w:spacing w:before="60" w:after="180"/>
        <w:ind w:left="173" w:right="173"/>
        <w:shd w:fill="FFF2CC"/>
      </w:pPr>
      <w:r>
        <w:rPr>
          <w:b/>
          <w:color w:val="0B2545"/>
        </w:rPr>
        <w:t xml:space="preserve">No language leakage: </w:t>
      </w:r>
      <w:r>
        <w:t>Hand, quire, illustration, Currier, dictionaries, and candidate languages did not determine subgroup membership.</w:t>
      </w:r>
    </w:p>
    <w:p>
      <w:pPr>
        <w:pStyle w:val="Heading1"/>
      </w:pPr>
      <w:r>
        <w:t>4. Post-freeze associations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5"/>
      </w:tblPr>
      <w:tblGrid>
        <w:gridCol w:w="1500"/>
        <w:gridCol w:w="1900"/>
        <w:gridCol w:w="1900"/>
        <w:gridCol w:w="2060"/>
        <w:gridCol w:w="2000"/>
      </w:tblGrid>
      <w:tr>
        <w:trPr/>
        <w:tc>
          <w:tcPr>
            <w:tcW w:type="dxa" w:w="15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Parent</w:t>
            </w:r>
          </w:p>
        </w:tc>
        <w:tc>
          <w:tcPr>
            <w:tcW w:type="dxa" w:w="19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Hand NMI</w:t>
            </w:r>
          </w:p>
        </w:tc>
        <w:tc>
          <w:tcPr>
            <w:tcW w:type="dxa" w:w="19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Quire NMI</w:t>
            </w:r>
          </w:p>
        </w:tc>
        <w:tc>
          <w:tcPr>
            <w:tcW w:type="dxa" w:w="206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Illustration NMI</w:t>
            </w:r>
          </w:p>
        </w:tc>
        <w:tc>
          <w:tcPr>
            <w:tcW w:type="dxa" w:w="20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6"/>
              </w:rPr>
              <w:t>Currier NMI</w:t>
            </w:r>
          </w:p>
        </w:tc>
      </w:tr>
      <w:tr>
        <w:trPr/>
        <w:tc>
          <w:tcPr>
            <w:tcW w:type="dxa" w:w="15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G1</w:t>
            </w:r>
          </w:p>
        </w:tc>
        <w:tc>
          <w:tcPr>
            <w:tcW w:type="dxa" w:w="19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0.107</w:t>
            </w:r>
          </w:p>
        </w:tc>
        <w:tc>
          <w:tcPr>
            <w:tcW w:type="dxa" w:w="19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0.326</w:t>
            </w:r>
          </w:p>
        </w:tc>
        <w:tc>
          <w:tcPr>
            <w:tcW w:type="dxa" w:w="20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0.378</w:t>
            </w:r>
          </w:p>
        </w:tc>
        <w:tc>
          <w:tcPr>
            <w:tcW w:type="dxa" w:w="20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0.151</w:t>
            </w:r>
          </w:p>
        </w:tc>
      </w:tr>
      <w:tr>
        <w:trPr/>
        <w:tc>
          <w:tcPr>
            <w:tcW w:type="dxa" w:w="15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6"/>
              </w:rPr>
              <w:t>G2</w:t>
            </w:r>
          </w:p>
        </w:tc>
        <w:tc>
          <w:tcPr>
            <w:tcW w:type="dxa" w:w="19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0.362</w:t>
            </w:r>
          </w:p>
        </w:tc>
        <w:tc>
          <w:tcPr>
            <w:tcW w:type="dxa" w:w="19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0.206</w:t>
            </w:r>
          </w:p>
        </w:tc>
        <w:tc>
          <w:tcPr>
            <w:tcW w:type="dxa" w:w="20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0.285</w:t>
            </w:r>
          </w:p>
        </w:tc>
        <w:tc>
          <w:tcPr>
            <w:tcW w:type="dxa" w:w="20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0.340</w:t>
            </w:r>
          </w:p>
        </w:tc>
      </w:tr>
    </w:tbl>
    <w:p>
      <w:pPr>
        <w:spacing w:after="20"/>
      </w:pPr>
    </w:p>
    <w:p>
      <w:r>
        <w:t>G1 residual structure associates most with illustration and quire. G2 residual structure associates most with hand and Currier. That suggests the two inherited systems may have been subdivided for different reasons.</w:t>
      </w:r>
    </w:p>
    <w:p>
      <w:r>
        <w:br w:type="page"/>
      </w:r>
    </w:p>
    <w:p>
      <w:pPr>
        <w:pStyle w:val="Heading1"/>
      </w:pPr>
      <w:r>
        <w:t>5. Decryption consequences</w:t>
      </w:r>
    </w:p>
    <w:p>
      <w:pPr>
        <w:spacing w:before="60" w:after="180"/>
        <w:ind w:left="173" w:right="173"/>
        <w:shd w:fill="DDEFE4"/>
      </w:pPr>
      <w:r>
        <w:rPr>
          <w:b/>
          <w:color w:val="0B2545"/>
        </w:rPr>
        <w:t xml:space="preserve">New unit of analysis: </w:t>
      </w:r>
      <w:r>
        <w:t>Language-origin testing should now be run independently on G1-S1, G1-S2, G2-S1, and G2-S2 while preserving the exact frozen folio assignments.</w:t>
      </w:r>
    </w:p>
    <w:p>
      <w:pPr>
        <w:pStyle w:val="ListBullet"/>
        <w:spacing w:after="60"/>
      </w:pPr>
      <w:r>
        <w:t>Begin with G2-S1 because it is both large and nearly synonymous with Hand 1.</w:t>
      </w:r>
    </w:p>
    <w:p>
      <w:pPr>
        <w:pStyle w:val="ListBullet"/>
        <w:spacing w:after="60"/>
      </w:pPr>
      <w:r>
        <w:t>Use identical candidate dictionaries, abbreviation rules, complexity penalties, and selection-aware nulls across all four blocks.</w:t>
      </w:r>
    </w:p>
    <w:p>
      <w:pPr>
        <w:pStyle w:val="ListBullet"/>
        <w:spacing w:after="60"/>
      </w:pPr>
      <w:r>
        <w:t>Compare a shared-language model against a four-block language model; extra languages must pay an explicit complexity cost.</w:t>
      </w:r>
    </w:p>
    <w:p>
      <w:pPr>
        <w:pStyle w:val="ListBullet"/>
        <w:spacing w:after="60"/>
      </w:pPr>
      <w:r>
        <w:t>Require each claimed language preference to recur on held-out folios and beat the full mapping-search null.</w:t>
      </w:r>
    </w:p>
    <w:p>
      <w:pPr>
        <w:pStyle w:val="ListBullet"/>
        <w:spacing w:after="60"/>
      </w:pPr>
      <w:r>
        <w:t>Do not interpret isolated readable words as evidence unless block-level morphology and grammar also survive.</w:t>
      </w:r>
    </w:p>
    <w:p>
      <w:pPr>
        <w:pStyle w:val="Heading1"/>
      </w:pPr>
      <w:r>
        <w:t>6. Recommended next run</w:t>
      </w:r>
    </w:p>
    <w:p>
      <w:pPr>
        <w:spacing w:before="60" w:after="180"/>
        <w:ind w:left="173" w:right="173"/>
        <w:shd w:fill="FFF2CC"/>
      </w:pPr>
      <w:r>
        <w:rPr>
          <w:b/>
          <w:color w:val="0B2545"/>
        </w:rPr>
        <w:t xml:space="preserve">v4.4 language-origin screen: </w:t>
      </w:r>
      <w:r>
        <w:t>Run a low-flexibility, dictionary-independent character/morphology profile first: compare each frozen block with medieval Latin, Middle English, Middle High German, Old/Middle French, and Northern Italian reference corpora under analogous abbreviation stripping. Use the profile only to rank candidates. Then submit the ranked languages to the full Adaptive ZD30 mapping protocol.</w:t>
      </w:r>
    </w:p>
    <w:p>
      <w:r>
        <w:t>This two-stage design prevents an expensive mapping search over every language while ensuring that the ranking evidence is not presented as translation.</w:t>
      </w:r>
    </w:p>
    <w:p>
      <w:pPr>
        <w:pStyle w:val="Heading1"/>
      </w:pPr>
      <w:r>
        <w:t>Delivered files and integrity</w:t>
      </w:r>
    </w:p>
    <w:p>
      <w:r>
        <w:t>CONTRIBUTOR_ATLAS.csv contains the frozen assignment, stability, hand, quire, illustration, Currier label, and sample size for all 223 folios.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05"/>
      </w:tblPr>
      <w:tblGrid>
        <w:gridCol w:w="2200"/>
        <w:gridCol w:w="7160"/>
      </w:tblGrid>
      <w:tr>
        <w:trPr/>
        <w:tc>
          <w:tcPr>
            <w:tcW w:type="dxa" w:w="220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5"/>
              </w:rPr>
              <w:t>Receipt item</w:t>
            </w:r>
          </w:p>
        </w:tc>
        <w:tc>
          <w:tcPr>
            <w:tcW w:type="dxa" w:w="7160"/>
            <w:vAlign w:val="center"/>
            <w:shd w:fill="E8EEF5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</w:pPr>
            <w:r/>
            <w:r>
              <w:rPr>
                <w:rFonts w:ascii="Calibri" w:hAnsi="Calibri"/>
                <w:b/>
                <w:color w:val="0B2545"/>
                <w:sz w:val="15"/>
              </w:rPr>
              <w:t>Hash</w:t>
            </w:r>
          </w:p>
        </w:tc>
      </w:tr>
      <w:tr>
        <w:trPr/>
        <w:tc>
          <w:tcPr>
            <w:tcW w:type="dxa" w:w="22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v4.3 specification</w:t>
            </w:r>
          </w:p>
        </w:tc>
        <w:tc>
          <w:tcPr>
            <w:tcW w:type="dxa" w:w="71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02b21581e8511b59a04c8f1d5e681d7da99e06084ddcb0f70fa209b55e64c551</w:t>
            </w:r>
          </w:p>
        </w:tc>
      </w:tr>
      <w:tr>
        <w:trPr/>
        <w:tc>
          <w:tcPr>
            <w:tcW w:type="dxa" w:w="22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Parent atlas</w:t>
            </w:r>
          </w:p>
        </w:tc>
        <w:tc>
          <w:tcPr>
            <w:tcW w:type="dxa" w:w="71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eef5fd2adb79a4725ff8f9a2b4154ed7051bf424137df9e5e9aadcf3b52b250f</w:t>
            </w:r>
          </w:p>
        </w:tc>
      </w:tr>
      <w:tr>
        <w:trPr/>
        <w:tc>
          <w:tcPr>
            <w:tcW w:type="dxa" w:w="220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Terminal receipt</w:t>
            </w:r>
          </w:p>
        </w:tc>
        <w:tc>
          <w:tcPr>
            <w:tcW w:type="dxa" w:w="7160"/>
            <w:vAlign w:val="center"/>
            <w:tcMar>
              <w:top w:w="70" w:type="dxa"/>
              <w:bottom w:w="70" w:type="dxa"/>
              <w:start w:w="105" w:type="dxa"/>
              <w:end w:w="105" w:type="dxa"/>
            </w:tcMar>
          </w:tcPr>
          <w:p>
            <w:pPr>
              <w:spacing w:after="0" w:line="245" w:lineRule="auto"/>
              <w:jc w:val="center"/>
            </w:pPr>
            <w:r/>
            <w:r>
              <w:rPr>
                <w:rFonts w:ascii="Calibri" w:hAnsi="Calibri"/>
                <w:b w:val="0"/>
                <w:sz w:val="15"/>
              </w:rPr>
              <w:t>0371430f4dbb9f056f58a465f5ce7e1bb4299d006545f95cf9388816d8e33faf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626A"/>
        <w:sz w:val="16"/>
      </w:rPr>
      <w:t>Contributor innovation atlas  |  v4.3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A626A"/>
        <w:sz w:val="16"/>
      </w:rPr>
      <w:t>ABAD Adaptive ZD30  |  Structure-First Research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B254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Calibri" w:hAnsi="Calibri"/>
      <w:b w:val="0"/>
      <w:i/>
      <w:iCs/>
      <w:color w:val="5A626A"/>
      <w:spacing w:val="15"/>
      <w:sz w:val="2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ABAD Adaptive ZD30 v4.3 Contributor Innovation Atlas</dc:title>
  <dc:subject>Cross-validated residual structural subgroups within frozen Voynich modes</dc:subject>
  <dc:creator>ABAD Adaptive ZD30 Research Program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