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DISAGREEMENT IS A BOUNDARY SIGNAL</w:t>
      </w:r>
    </w:p>
    <w:p>
      <w:pPr>
        <w:pStyle w:val="Subtitle"/>
      </w:pPr>
      <w:r>
        <w:t>Outcome-blind decomposition of transcription disagreement</w:t>
      </w:r>
    </w:p>
    <w:p>
      <w:r>
        <w:rPr>
          <w:b/>
          <w:color w:val="2E74B5"/>
        </w:rPr>
        <w:t xml:space="preserve">DECISION  </w:t>
      </w:r>
      <w:r>
        <w:t>The excess predictive gain localizes entirely to insertion/deletion and word-boundary disagreements. One-to-one glyph substitutions carry no positive signal.</w:t>
      </w:r>
    </w:p>
    <w:p>
      <w:pPr>
        <w:pStyle w:val="Heading1"/>
      </w:pPr>
      <w:r>
        <w:t>Executive result</w:t>
      </w:r>
    </w:p>
    <w:p>
      <w:r>
        <w:t>The v8.23 DISPUTED partition was split before scoring into three mutually exclusive alignment categories. Category assignment used only token strings and sequence-alignment geometry—never run status, role, next class, contributor block, or model output. The run=4 → X rule and β = 0.450636 remained frozen.</w:t>
      </w:r>
    </w:p>
    <w:tbl>
      <w:tblPr>
        <w:tblStyle w:val="TableGrid"/>
        <w:tblW w:type="dxa" w:w="9360"/>
        <w:tblLayout w:type="fixed"/>
        <w:tblLook w:firstColumn="1" w:firstRow="1" w:lastColumn="0" w:lastRow="0" w:noHBand="0" w:noVBand="1" w:val="04A0"/>
        <w:tblInd w:w="120" w:type="dxa"/>
      </w:tblPr>
      <w:tblGrid>
        <w:gridCol w:w="2050"/>
        <w:gridCol w:w="1150"/>
        <w:gridCol w:w="1750"/>
        <w:gridCol w:w="1500"/>
        <w:gridCol w:w="1400"/>
        <w:gridCol w:w="1510"/>
      </w:tblGrid>
      <w:tr>
        <w:trPr>
          <w:tblHeader w:val="true"/>
          <w:cantSplit/>
        </w:trPr>
        <w:tc>
          <w:tcPr>
            <w:tcW w:type="dxa" w:w="2050"/>
            <w:shd w:fill="F2F4F7"/>
            <w:vAlign w:val="center"/>
            <w:tcMar>
              <w:top w:w="80" w:type="dxa"/>
              <w:start w:w="120" w:type="dxa"/>
              <w:bottom w:w="80" w:type="dxa"/>
              <w:end w:w="120" w:type="dxa"/>
            </w:tcMar>
          </w:tcPr>
          <w:p>
            <w:pPr>
              <w:spacing w:after="40"/>
            </w:pPr>
            <w:r>
              <w:rPr>
                <w:b/>
                <w:sz w:val="16"/>
              </w:rPr>
              <w:t>Category</w:t>
            </w:r>
          </w:p>
        </w:tc>
        <w:tc>
          <w:tcPr>
            <w:tcW w:type="dxa" w:w="1150"/>
            <w:shd w:fill="F2F4F7"/>
            <w:vAlign w:val="center"/>
            <w:tcMar>
              <w:top w:w="80" w:type="dxa"/>
              <w:start w:w="120" w:type="dxa"/>
              <w:bottom w:w="80" w:type="dxa"/>
              <w:end w:w="120" w:type="dxa"/>
            </w:tcMar>
          </w:tcPr>
          <w:p>
            <w:pPr>
              <w:spacing w:after="40"/>
              <w:jc w:val="center"/>
            </w:pPr>
            <w:r>
              <w:rPr>
                <w:b/>
                <w:sz w:val="16"/>
              </w:rPr>
              <w:t>Eligible n</w:t>
            </w:r>
          </w:p>
        </w:tc>
        <w:tc>
          <w:tcPr>
            <w:tcW w:type="dxa" w:w="1750"/>
            <w:shd w:fill="F2F4F7"/>
            <w:vAlign w:val="center"/>
            <w:tcMar>
              <w:top w:w="80" w:type="dxa"/>
              <w:start w:w="120" w:type="dxa"/>
              <w:bottom w:w="80" w:type="dxa"/>
              <w:end w:w="120" w:type="dxa"/>
            </w:tcMar>
          </w:tcPr>
          <w:p>
            <w:pPr>
              <w:spacing w:after="40"/>
              <w:jc w:val="center"/>
            </w:pPr>
            <w:r>
              <w:rPr>
                <w:b/>
                <w:sz w:val="16"/>
              </w:rPr>
              <w:t>Raw bits/token</w:t>
            </w:r>
          </w:p>
        </w:tc>
        <w:tc>
          <w:tcPr>
            <w:tcW w:type="dxa" w:w="1500"/>
            <w:shd w:fill="F2F4F7"/>
            <w:vAlign w:val="center"/>
            <w:tcMar>
              <w:top w:w="80" w:type="dxa"/>
              <w:start w:w="120" w:type="dxa"/>
              <w:bottom w:w="80" w:type="dxa"/>
              <w:end w:w="120" w:type="dxa"/>
            </w:tcMar>
          </w:tcPr>
          <w:p>
            <w:pPr>
              <w:spacing w:after="40"/>
              <w:jc w:val="center"/>
            </w:pPr>
            <w:r>
              <w:rPr>
                <w:b/>
                <w:sz w:val="16"/>
              </w:rPr>
              <w:t>Positive folds</w:t>
            </w:r>
          </w:p>
        </w:tc>
        <w:tc>
          <w:tcPr>
            <w:tcW w:type="dxa" w:w="1400"/>
            <w:shd w:fill="F2F4F7"/>
            <w:vAlign w:val="center"/>
            <w:tcMar>
              <w:top w:w="80" w:type="dxa"/>
              <w:start w:w="120" w:type="dxa"/>
              <w:bottom w:w="80" w:type="dxa"/>
              <w:end w:w="120" w:type="dxa"/>
            </w:tcMar>
          </w:tcPr>
          <w:p>
            <w:pPr>
              <w:spacing w:after="40"/>
              <w:jc w:val="center"/>
            </w:pPr>
            <w:r>
              <w:rPr>
                <w:b/>
                <w:sz w:val="16"/>
              </w:rPr>
              <w:t>Familywise p</w:t>
            </w:r>
          </w:p>
        </w:tc>
        <w:tc>
          <w:tcPr>
            <w:tcW w:type="dxa" w:w="1510"/>
            <w:shd w:fill="F2F4F7"/>
            <w:vAlign w:val="center"/>
            <w:tcMar>
              <w:top w:w="80" w:type="dxa"/>
              <w:start w:w="120" w:type="dxa"/>
              <w:bottom w:w="80" w:type="dxa"/>
              <w:end w:w="120" w:type="dxa"/>
            </w:tcMar>
          </w:tcPr>
          <w:p>
            <w:pPr>
              <w:spacing w:after="40"/>
              <w:jc w:val="center"/>
            </w:pPr>
            <w:r>
              <w:rPr>
                <w:b/>
                <w:sz w:val="16"/>
              </w:rPr>
              <w:t>Conclusion</w:t>
            </w:r>
          </w:p>
        </w:tc>
      </w:tr>
      <w:tr>
        <w:trPr>
          <w:cantSplit/>
        </w:trPr>
        <w:tc>
          <w:tcPr>
            <w:tcW w:type="dxa" w:w="2050"/>
            <w:vAlign w:val="center"/>
            <w:tcMar>
              <w:top w:w="80" w:type="dxa"/>
              <w:start w:w="120" w:type="dxa"/>
              <w:bottom w:w="80" w:type="dxa"/>
              <w:end w:w="120" w:type="dxa"/>
            </w:tcMar>
          </w:tcPr>
          <w:p>
            <w:pPr>
              <w:spacing w:after="40"/>
            </w:pPr>
            <w:r>
              <w:rPr>
                <w:b w:val="0"/>
                <w:sz w:val="16"/>
              </w:rPr>
              <w:t>Exact agreement</w:t>
            </w:r>
          </w:p>
        </w:tc>
        <w:tc>
          <w:tcPr>
            <w:tcW w:type="dxa" w:w="1150"/>
            <w:vAlign w:val="center"/>
            <w:tcMar>
              <w:top w:w="80" w:type="dxa"/>
              <w:start w:w="120" w:type="dxa"/>
              <w:bottom w:w="80" w:type="dxa"/>
              <w:end w:w="120" w:type="dxa"/>
            </w:tcMar>
          </w:tcPr>
          <w:p>
            <w:pPr>
              <w:spacing w:after="40"/>
              <w:jc w:val="center"/>
            </w:pPr>
            <w:r>
              <w:rPr>
                <w:b w:val="0"/>
                <w:sz w:val="16"/>
              </w:rPr>
              <w:t>3631</w:t>
            </w:r>
          </w:p>
        </w:tc>
        <w:tc>
          <w:tcPr>
            <w:tcW w:type="dxa" w:w="1750"/>
            <w:vAlign w:val="center"/>
            <w:tcMar>
              <w:top w:w="80" w:type="dxa"/>
              <w:start w:w="120" w:type="dxa"/>
              <w:bottom w:w="80" w:type="dxa"/>
              <w:end w:w="120" w:type="dxa"/>
            </w:tcMar>
          </w:tcPr>
          <w:p>
            <w:pPr>
              <w:spacing w:after="40"/>
              <w:jc w:val="center"/>
            </w:pPr>
            <w:r>
              <w:rPr>
                <w:b w:val="0"/>
                <w:sz w:val="16"/>
              </w:rPr>
              <w:t>+0.004403</w:t>
            </w:r>
          </w:p>
        </w:tc>
        <w:tc>
          <w:tcPr>
            <w:tcW w:type="dxa" w:w="1500"/>
            <w:vAlign w:val="center"/>
            <w:tcMar>
              <w:top w:w="80" w:type="dxa"/>
              <w:start w:w="120" w:type="dxa"/>
              <w:bottom w:w="80" w:type="dxa"/>
              <w:end w:w="120" w:type="dxa"/>
            </w:tcMar>
          </w:tcPr>
          <w:p>
            <w:pPr>
              <w:spacing w:after="40"/>
              <w:jc w:val="center"/>
            </w:pPr>
            <w:r>
              <w:rPr>
                <w:b w:val="0"/>
                <w:sz w:val="16"/>
              </w:rPr>
              <w:t>4/5</w:t>
            </w:r>
          </w:p>
        </w:tc>
        <w:tc>
          <w:tcPr>
            <w:tcW w:type="dxa" w:w="1400"/>
            <w:vAlign w:val="center"/>
            <w:tcMar>
              <w:top w:w="80" w:type="dxa"/>
              <w:start w:w="120" w:type="dxa"/>
              <w:bottom w:w="80" w:type="dxa"/>
              <w:end w:w="120" w:type="dxa"/>
            </w:tcMar>
          </w:tcPr>
          <w:p>
            <w:pPr>
              <w:spacing w:after="40"/>
              <w:jc w:val="center"/>
            </w:pPr>
            <w:r>
              <w:rPr>
                <w:b w:val="0"/>
                <w:sz w:val="16"/>
              </w:rPr>
              <w:t>0.00498</w:t>
            </w:r>
          </w:p>
        </w:tc>
        <w:tc>
          <w:tcPr>
            <w:tcW w:type="dxa" w:w="1510"/>
            <w:vAlign w:val="center"/>
            <w:tcMar>
              <w:top w:w="80" w:type="dxa"/>
              <w:start w:w="120" w:type="dxa"/>
              <w:bottom w:w="80" w:type="dxa"/>
              <w:end w:w="120" w:type="dxa"/>
            </w:tcMar>
          </w:tcPr>
          <w:p>
            <w:pPr>
              <w:spacing w:after="40"/>
              <w:jc w:val="center"/>
            </w:pPr>
            <w:r>
              <w:rPr>
                <w:b w:val="0"/>
                <w:sz w:val="16"/>
              </w:rPr>
              <w:t>Stable shared signal</w:t>
            </w:r>
          </w:p>
        </w:tc>
      </w:tr>
      <w:tr>
        <w:trPr>
          <w:cantSplit/>
        </w:trPr>
        <w:tc>
          <w:tcPr>
            <w:tcW w:type="dxa" w:w="2050"/>
            <w:vAlign w:val="center"/>
            <w:tcMar>
              <w:top w:w="80" w:type="dxa"/>
              <w:start w:w="120" w:type="dxa"/>
              <w:bottom w:w="80" w:type="dxa"/>
              <w:end w:w="120" w:type="dxa"/>
            </w:tcMar>
          </w:tcPr>
          <w:p>
            <w:pPr>
              <w:spacing w:after="40"/>
            </w:pPr>
            <w:r>
              <w:rPr>
                <w:b w:val="0"/>
                <w:sz w:val="16"/>
              </w:rPr>
              <w:t>1:1 substitution</w:t>
            </w:r>
          </w:p>
        </w:tc>
        <w:tc>
          <w:tcPr>
            <w:tcW w:type="dxa" w:w="1150"/>
            <w:vAlign w:val="center"/>
            <w:tcMar>
              <w:top w:w="80" w:type="dxa"/>
              <w:start w:w="120" w:type="dxa"/>
              <w:bottom w:w="80" w:type="dxa"/>
              <w:end w:w="120" w:type="dxa"/>
            </w:tcMar>
          </w:tcPr>
          <w:p>
            <w:pPr>
              <w:spacing w:after="40"/>
              <w:jc w:val="center"/>
            </w:pPr>
            <w:r>
              <w:rPr>
                <w:b w:val="0"/>
                <w:sz w:val="16"/>
              </w:rPr>
              <w:t>173</w:t>
            </w:r>
          </w:p>
        </w:tc>
        <w:tc>
          <w:tcPr>
            <w:tcW w:type="dxa" w:w="1750"/>
            <w:vAlign w:val="center"/>
            <w:tcMar>
              <w:top w:w="80" w:type="dxa"/>
              <w:start w:w="120" w:type="dxa"/>
              <w:bottom w:w="80" w:type="dxa"/>
              <w:end w:w="120" w:type="dxa"/>
            </w:tcMar>
          </w:tcPr>
          <w:p>
            <w:pPr>
              <w:spacing w:after="40"/>
              <w:jc w:val="center"/>
            </w:pPr>
            <w:r>
              <w:rPr>
                <w:b w:val="0"/>
                <w:sz w:val="16"/>
              </w:rPr>
              <w:t>-0.004311</w:t>
            </w:r>
          </w:p>
        </w:tc>
        <w:tc>
          <w:tcPr>
            <w:tcW w:type="dxa" w:w="1500"/>
            <w:vAlign w:val="center"/>
            <w:tcMar>
              <w:top w:w="80" w:type="dxa"/>
              <w:start w:w="120" w:type="dxa"/>
              <w:bottom w:w="80" w:type="dxa"/>
              <w:end w:w="120" w:type="dxa"/>
            </w:tcMar>
          </w:tcPr>
          <w:p>
            <w:pPr>
              <w:spacing w:after="40"/>
              <w:jc w:val="center"/>
            </w:pPr>
            <w:r>
              <w:rPr>
                <w:b w:val="0"/>
                <w:sz w:val="16"/>
              </w:rPr>
              <w:t>2/5</w:t>
            </w:r>
          </w:p>
        </w:tc>
        <w:tc>
          <w:tcPr>
            <w:tcW w:type="dxa" w:w="1400"/>
            <w:vAlign w:val="center"/>
            <w:tcMar>
              <w:top w:w="80" w:type="dxa"/>
              <w:start w:w="120" w:type="dxa"/>
              <w:bottom w:w="80" w:type="dxa"/>
              <w:end w:w="120" w:type="dxa"/>
            </w:tcMar>
          </w:tcPr>
          <w:p>
            <w:pPr>
              <w:spacing w:after="40"/>
              <w:jc w:val="center"/>
            </w:pPr>
            <w:r>
              <w:rPr>
                <w:b w:val="0"/>
                <w:sz w:val="16"/>
              </w:rPr>
              <w:t>0.796</w:t>
            </w:r>
          </w:p>
        </w:tc>
        <w:tc>
          <w:tcPr>
            <w:tcW w:type="dxa" w:w="1510"/>
            <w:vAlign w:val="center"/>
            <w:tcMar>
              <w:top w:w="80" w:type="dxa"/>
              <w:start w:w="120" w:type="dxa"/>
              <w:bottom w:w="80" w:type="dxa"/>
              <w:end w:w="120" w:type="dxa"/>
            </w:tcMar>
          </w:tcPr>
          <w:p>
            <w:pPr>
              <w:spacing w:after="40"/>
              <w:jc w:val="center"/>
            </w:pPr>
            <w:r>
              <w:rPr>
                <w:b w:val="0"/>
                <w:sz w:val="16"/>
              </w:rPr>
              <w:t>No signal</w:t>
            </w:r>
          </w:p>
        </w:tc>
      </w:tr>
      <w:tr>
        <w:trPr>
          <w:cantSplit/>
        </w:trPr>
        <w:tc>
          <w:tcPr>
            <w:tcW w:type="dxa" w:w="2050"/>
            <w:vAlign w:val="center"/>
            <w:tcMar>
              <w:top w:w="80" w:type="dxa"/>
              <w:start w:w="120" w:type="dxa"/>
              <w:bottom w:w="80" w:type="dxa"/>
              <w:end w:w="120" w:type="dxa"/>
            </w:tcMar>
          </w:tcPr>
          <w:p>
            <w:pPr>
              <w:spacing w:after="40"/>
            </w:pPr>
            <w:r>
              <w:rPr>
                <w:b w:val="0"/>
                <w:sz w:val="16"/>
              </w:rPr>
              <w:t>Gap / boundary</w:t>
            </w:r>
          </w:p>
        </w:tc>
        <w:tc>
          <w:tcPr>
            <w:tcW w:type="dxa" w:w="1150"/>
            <w:vAlign w:val="center"/>
            <w:tcMar>
              <w:top w:w="80" w:type="dxa"/>
              <w:start w:w="120" w:type="dxa"/>
              <w:bottom w:w="80" w:type="dxa"/>
              <w:end w:w="120" w:type="dxa"/>
            </w:tcMar>
          </w:tcPr>
          <w:p>
            <w:pPr>
              <w:spacing w:after="40"/>
              <w:jc w:val="center"/>
            </w:pPr>
            <w:r>
              <w:rPr>
                <w:b w:val="0"/>
                <w:sz w:val="16"/>
              </w:rPr>
              <w:t>408</w:t>
            </w:r>
          </w:p>
        </w:tc>
        <w:tc>
          <w:tcPr>
            <w:tcW w:type="dxa" w:w="1750"/>
            <w:vAlign w:val="center"/>
            <w:tcMar>
              <w:top w:w="80" w:type="dxa"/>
              <w:start w:w="120" w:type="dxa"/>
              <w:bottom w:w="80" w:type="dxa"/>
              <w:end w:w="120" w:type="dxa"/>
            </w:tcMar>
          </w:tcPr>
          <w:p>
            <w:pPr>
              <w:spacing w:after="40"/>
              <w:jc w:val="center"/>
            </w:pPr>
            <w:r>
              <w:rPr>
                <w:b w:val="0"/>
                <w:sz w:val="16"/>
              </w:rPr>
              <w:t>+0.030323</w:t>
            </w:r>
          </w:p>
        </w:tc>
        <w:tc>
          <w:tcPr>
            <w:tcW w:type="dxa" w:w="1500"/>
            <w:vAlign w:val="center"/>
            <w:tcMar>
              <w:top w:w="80" w:type="dxa"/>
              <w:start w:w="120" w:type="dxa"/>
              <w:bottom w:w="80" w:type="dxa"/>
              <w:end w:w="120" w:type="dxa"/>
            </w:tcMar>
          </w:tcPr>
          <w:p>
            <w:pPr>
              <w:spacing w:after="40"/>
              <w:jc w:val="center"/>
            </w:pPr>
            <w:r>
              <w:rPr>
                <w:b w:val="0"/>
                <w:sz w:val="16"/>
              </w:rPr>
              <w:t>5/5</w:t>
            </w:r>
          </w:p>
        </w:tc>
        <w:tc>
          <w:tcPr>
            <w:tcW w:type="dxa" w:w="1400"/>
            <w:vAlign w:val="center"/>
            <w:tcMar>
              <w:top w:w="80" w:type="dxa"/>
              <w:start w:w="120" w:type="dxa"/>
              <w:bottom w:w="80" w:type="dxa"/>
              <w:end w:w="120" w:type="dxa"/>
            </w:tcMar>
          </w:tcPr>
          <w:p>
            <w:pPr>
              <w:spacing w:after="40"/>
              <w:jc w:val="center"/>
            </w:pPr>
            <w:r>
              <w:rPr>
                <w:b w:val="0"/>
                <w:sz w:val="16"/>
              </w:rPr>
              <w:t>0.00498</w:t>
            </w:r>
          </w:p>
        </w:tc>
        <w:tc>
          <w:tcPr>
            <w:tcW w:type="dxa" w:w="1510"/>
            <w:vAlign w:val="center"/>
            <w:tcMar>
              <w:top w:w="80" w:type="dxa"/>
              <w:start w:w="120" w:type="dxa"/>
              <w:bottom w:w="80" w:type="dxa"/>
              <w:end w:w="120" w:type="dxa"/>
            </w:tcMar>
          </w:tcPr>
          <w:p>
            <w:pPr>
              <w:spacing w:after="40"/>
              <w:jc w:val="center"/>
            </w:pPr>
            <w:r>
              <w:rPr>
                <w:b w:val="0"/>
                <w:sz w:val="16"/>
              </w:rPr>
              <w:t>Dominant signal</w:t>
            </w:r>
          </w:p>
        </w:tc>
      </w:tr>
      <w:tr>
        <w:trPr>
          <w:cantSplit/>
        </w:trPr>
        <w:tc>
          <w:tcPr>
            <w:tcW w:type="dxa" w:w="2050"/>
            <w:vAlign w:val="center"/>
            <w:tcMar>
              <w:top w:w="80" w:type="dxa"/>
              <w:start w:w="120" w:type="dxa"/>
              <w:bottom w:w="80" w:type="dxa"/>
              <w:end w:w="120" w:type="dxa"/>
            </w:tcMar>
          </w:tcPr>
          <w:p>
            <w:pPr>
              <w:spacing w:after="40"/>
            </w:pPr>
            <w:r>
              <w:rPr>
                <w:b w:val="0"/>
                <w:sz w:val="16"/>
              </w:rPr>
              <w:t>Locally displaced</w:t>
            </w:r>
          </w:p>
        </w:tc>
        <w:tc>
          <w:tcPr>
            <w:tcW w:type="dxa" w:w="1150"/>
            <w:vAlign w:val="center"/>
            <w:tcMar>
              <w:top w:w="80" w:type="dxa"/>
              <w:start w:w="120" w:type="dxa"/>
              <w:bottom w:w="80" w:type="dxa"/>
              <w:end w:w="120" w:type="dxa"/>
            </w:tcMar>
          </w:tcPr>
          <w:p>
            <w:pPr>
              <w:spacing w:after="40"/>
              <w:jc w:val="center"/>
            </w:pPr>
            <w:r>
              <w:rPr>
                <w:b w:val="0"/>
                <w:sz w:val="16"/>
              </w:rPr>
              <w:t>15</w:t>
            </w:r>
          </w:p>
        </w:tc>
        <w:tc>
          <w:tcPr>
            <w:tcW w:type="dxa" w:w="1750"/>
            <w:vAlign w:val="center"/>
            <w:tcMar>
              <w:top w:w="80" w:type="dxa"/>
              <w:start w:w="120" w:type="dxa"/>
              <w:bottom w:w="80" w:type="dxa"/>
              <w:end w:w="120" w:type="dxa"/>
            </w:tcMar>
          </w:tcPr>
          <w:p>
            <w:pPr>
              <w:spacing w:after="40"/>
              <w:jc w:val="center"/>
            </w:pPr>
            <w:r>
              <w:rPr>
                <w:b w:val="0"/>
                <w:sz w:val="16"/>
              </w:rPr>
              <w:t>-0.003179</w:t>
            </w:r>
          </w:p>
        </w:tc>
        <w:tc>
          <w:tcPr>
            <w:tcW w:type="dxa" w:w="1500"/>
            <w:vAlign w:val="center"/>
            <w:tcMar>
              <w:top w:w="80" w:type="dxa"/>
              <w:start w:w="120" w:type="dxa"/>
              <w:bottom w:w="80" w:type="dxa"/>
              <w:end w:w="120" w:type="dxa"/>
            </w:tcMar>
          </w:tcPr>
          <w:p>
            <w:pPr>
              <w:spacing w:after="40"/>
              <w:jc w:val="center"/>
            </w:pPr>
            <w:r>
              <w:rPr>
                <w:b w:val="0"/>
                <w:sz w:val="16"/>
              </w:rPr>
              <w:t>0/5</w:t>
            </w:r>
          </w:p>
        </w:tc>
        <w:tc>
          <w:tcPr>
            <w:tcW w:type="dxa" w:w="1400"/>
            <w:vAlign w:val="center"/>
            <w:tcMar>
              <w:top w:w="80" w:type="dxa"/>
              <w:start w:w="120" w:type="dxa"/>
              <w:bottom w:w="80" w:type="dxa"/>
              <w:end w:w="120" w:type="dxa"/>
            </w:tcMar>
          </w:tcPr>
          <w:p>
            <w:pPr>
              <w:spacing w:after="40"/>
              <w:jc w:val="center"/>
            </w:pPr>
            <w:r>
              <w:rPr>
                <w:b w:val="0"/>
                <w:sz w:val="16"/>
              </w:rPr>
              <w:t>1.000</w:t>
            </w:r>
          </w:p>
        </w:tc>
        <w:tc>
          <w:tcPr>
            <w:tcW w:type="dxa" w:w="1510"/>
            <w:vAlign w:val="center"/>
            <w:tcMar>
              <w:top w:w="80" w:type="dxa"/>
              <w:start w:w="120" w:type="dxa"/>
              <w:bottom w:w="80" w:type="dxa"/>
              <w:end w:w="120" w:type="dxa"/>
            </w:tcMar>
          </w:tcPr>
          <w:p>
            <w:pPr>
              <w:spacing w:after="40"/>
              <w:jc w:val="center"/>
            </w:pPr>
            <w:r>
              <w:rPr>
                <w:b w:val="0"/>
                <w:sz w:val="16"/>
              </w:rPr>
              <w:t>No signal</w:t>
            </w:r>
          </w:p>
        </w:tc>
      </w:tr>
    </w:tbl>
    <w:p>
      <w:pPr>
        <w:spacing w:after="0"/>
      </w:pPr>
    </w:p>
    <w:p>
      <w:r>
        <w:t>The gap/boundary subtype contributes 12.372 gain bits—more than 100% of the net disputed gain because the other two subtypes are slightly negative. It is positive in every fold, has z = 5.81 against its null, and survives familywise correction at p = 0.00498.</w:t>
      </w:r>
    </w:p>
    <w:p>
      <w:pPr>
        <w:pStyle w:val="Heading1"/>
      </w:pPr>
      <w:r>
        <w:t>What the categories mean</w:t>
      </w:r>
    </w:p>
    <w:p>
      <w:r>
        <w:t>One-to-one substitution means both transcriptions contain one token at the same aligned location but disagree about its EVA reading. Gap/boundary means one transcription inserts, deletes, merges, or splits material relative to the other, with no identical token nearby. Locally displaced means the same token exists within three positions but sequence alignment places it elsewhere.</w:t>
      </w:r>
    </w:p>
    <w:p>
      <w:r>
        <w:t>Only the second category is predictive. Therefore the v8.23 concentration is not evidence that ambiguous glyph identities themselves encode a hidden distinction. It is evidence that token segmentation and omission decisions occur at precisely the locations where the run-based structural statistic is strongest.</w:t>
      </w:r>
    </w:p>
    <w:p>
      <w:pPr>
        <w:pStyle w:val="Heading1"/>
        <w:pageBreakBefore/>
      </w:pPr>
      <w:r>
        <w:t>Fold-level evidence</w:t>
      </w:r>
    </w:p>
    <w:tbl>
      <w:tblPr>
        <w:tblStyle w:val="TableGrid"/>
        <w:tblW w:type="dxa" w:w="9360"/>
        <w:tblLayout w:type="fixed"/>
        <w:tblLook w:firstColumn="1" w:firstRow="1" w:lastColumn="0" w:lastRow="0" w:noHBand="0" w:noVBand="1" w:val="04A0"/>
        <w:tblInd w:w="120" w:type="dxa"/>
      </w:tblPr>
      <w:tblGrid>
        <w:gridCol w:w="900"/>
        <w:gridCol w:w="1400"/>
        <w:gridCol w:w="2400"/>
        <w:gridCol w:w="2100"/>
        <w:gridCol w:w="2560"/>
      </w:tblGrid>
      <w:tr>
        <w:trPr>
          <w:tblHeader w:val="true"/>
          <w:cantSplit/>
        </w:trPr>
        <w:tc>
          <w:tcPr>
            <w:tcW w:type="dxa" w:w="900"/>
            <w:shd w:fill="F2F4F7"/>
            <w:vAlign w:val="center"/>
            <w:tcMar>
              <w:top w:w="80" w:type="dxa"/>
              <w:start w:w="120" w:type="dxa"/>
              <w:bottom w:w="80" w:type="dxa"/>
              <w:end w:w="120" w:type="dxa"/>
            </w:tcMar>
          </w:tcPr>
          <w:p>
            <w:pPr>
              <w:spacing w:after="40"/>
            </w:pPr>
            <w:r>
              <w:rPr>
                <w:b/>
                <w:sz w:val="18"/>
              </w:rPr>
              <w:t>Fold</w:t>
            </w:r>
          </w:p>
        </w:tc>
        <w:tc>
          <w:tcPr>
            <w:tcW w:type="dxa" w:w="1400"/>
            <w:shd w:fill="F2F4F7"/>
            <w:vAlign w:val="center"/>
            <w:tcMar>
              <w:top w:w="80" w:type="dxa"/>
              <w:start w:w="120" w:type="dxa"/>
              <w:bottom w:w="80" w:type="dxa"/>
              <w:end w:w="120" w:type="dxa"/>
            </w:tcMar>
          </w:tcPr>
          <w:p>
            <w:pPr>
              <w:spacing w:after="40"/>
              <w:jc w:val="center"/>
            </w:pPr>
            <w:r>
              <w:rPr>
                <w:b/>
                <w:sz w:val="18"/>
              </w:rPr>
              <w:t>Gap n</w:t>
            </w:r>
          </w:p>
        </w:tc>
        <w:tc>
          <w:tcPr>
            <w:tcW w:type="dxa" w:w="2400"/>
            <w:shd w:fill="F2F4F7"/>
            <w:vAlign w:val="center"/>
            <w:tcMar>
              <w:top w:w="80" w:type="dxa"/>
              <w:start w:w="120" w:type="dxa"/>
              <w:bottom w:w="80" w:type="dxa"/>
              <w:end w:w="120" w:type="dxa"/>
            </w:tcMar>
          </w:tcPr>
          <w:p>
            <w:pPr>
              <w:spacing w:after="40"/>
              <w:jc w:val="center"/>
            </w:pPr>
            <w:r>
              <w:rPr>
                <w:b/>
                <w:sz w:val="18"/>
              </w:rPr>
              <w:t>Gap gain</w:t>
            </w:r>
          </w:p>
        </w:tc>
        <w:tc>
          <w:tcPr>
            <w:tcW w:type="dxa" w:w="2100"/>
            <w:shd w:fill="F2F4F7"/>
            <w:vAlign w:val="center"/>
            <w:tcMar>
              <w:top w:w="80" w:type="dxa"/>
              <w:start w:w="120" w:type="dxa"/>
              <w:bottom w:w="80" w:type="dxa"/>
              <w:end w:w="120" w:type="dxa"/>
            </w:tcMar>
          </w:tcPr>
          <w:p>
            <w:pPr>
              <w:spacing w:after="40"/>
              <w:jc w:val="center"/>
            </w:pPr>
            <w:r>
              <w:rPr>
                <w:b/>
                <w:sz w:val="18"/>
              </w:rPr>
              <w:t>Substitution n</w:t>
            </w:r>
          </w:p>
        </w:tc>
        <w:tc>
          <w:tcPr>
            <w:tcW w:type="dxa" w:w="2560"/>
            <w:shd w:fill="F2F4F7"/>
            <w:vAlign w:val="center"/>
            <w:tcMar>
              <w:top w:w="80" w:type="dxa"/>
              <w:start w:w="120" w:type="dxa"/>
              <w:bottom w:w="80" w:type="dxa"/>
              <w:end w:w="120" w:type="dxa"/>
            </w:tcMar>
          </w:tcPr>
          <w:p>
            <w:pPr>
              <w:spacing w:after="40"/>
              <w:jc w:val="center"/>
            </w:pPr>
            <w:r>
              <w:rPr>
                <w:b/>
                <w:sz w:val="18"/>
              </w:rPr>
              <w:t>Substitution gain</w:t>
            </w:r>
          </w:p>
        </w:tc>
      </w:tr>
      <w:tr>
        <w:trPr>
          <w:cantSplit/>
        </w:trPr>
        <w:tc>
          <w:tcPr>
            <w:tcW w:type="dxa" w:w="900"/>
            <w:vAlign w:val="center"/>
            <w:tcMar>
              <w:top w:w="80" w:type="dxa"/>
              <w:start w:w="120" w:type="dxa"/>
              <w:bottom w:w="80" w:type="dxa"/>
              <w:end w:w="120" w:type="dxa"/>
            </w:tcMar>
          </w:tcPr>
          <w:p>
            <w:pPr>
              <w:spacing w:after="40"/>
            </w:pPr>
            <w:r>
              <w:rPr>
                <w:b w:val="0"/>
                <w:sz w:val="18"/>
              </w:rPr>
              <w:t>1</w:t>
            </w:r>
          </w:p>
        </w:tc>
        <w:tc>
          <w:tcPr>
            <w:tcW w:type="dxa" w:w="1400"/>
            <w:vAlign w:val="center"/>
            <w:tcMar>
              <w:top w:w="80" w:type="dxa"/>
              <w:start w:w="120" w:type="dxa"/>
              <w:bottom w:w="80" w:type="dxa"/>
              <w:end w:w="120" w:type="dxa"/>
            </w:tcMar>
          </w:tcPr>
          <w:p>
            <w:pPr>
              <w:spacing w:after="40"/>
              <w:jc w:val="center"/>
            </w:pPr>
            <w:r>
              <w:rPr>
                <w:b w:val="0"/>
                <w:sz w:val="18"/>
              </w:rPr>
              <w:t>73</w:t>
            </w:r>
          </w:p>
        </w:tc>
        <w:tc>
          <w:tcPr>
            <w:tcW w:type="dxa" w:w="2400"/>
            <w:vAlign w:val="center"/>
            <w:tcMar>
              <w:top w:w="80" w:type="dxa"/>
              <w:start w:w="120" w:type="dxa"/>
              <w:bottom w:w="80" w:type="dxa"/>
              <w:end w:w="120" w:type="dxa"/>
            </w:tcMar>
          </w:tcPr>
          <w:p>
            <w:pPr>
              <w:spacing w:after="40"/>
              <w:jc w:val="center"/>
            </w:pPr>
            <w:r>
              <w:rPr>
                <w:b w:val="0"/>
                <w:sz w:val="18"/>
              </w:rPr>
              <w:t>+0.035938</w:t>
            </w:r>
          </w:p>
        </w:tc>
        <w:tc>
          <w:tcPr>
            <w:tcW w:type="dxa" w:w="2100"/>
            <w:vAlign w:val="center"/>
            <w:tcMar>
              <w:top w:w="80" w:type="dxa"/>
              <w:start w:w="120" w:type="dxa"/>
              <w:bottom w:w="80" w:type="dxa"/>
              <w:end w:w="120" w:type="dxa"/>
            </w:tcMar>
          </w:tcPr>
          <w:p>
            <w:pPr>
              <w:spacing w:after="40"/>
              <w:jc w:val="center"/>
            </w:pPr>
            <w:r>
              <w:rPr>
                <w:b w:val="0"/>
                <w:sz w:val="18"/>
              </w:rPr>
              <w:t>27</w:t>
            </w:r>
          </w:p>
        </w:tc>
        <w:tc>
          <w:tcPr>
            <w:tcW w:type="dxa" w:w="2560"/>
            <w:vAlign w:val="center"/>
            <w:tcMar>
              <w:top w:w="80" w:type="dxa"/>
              <w:start w:w="120" w:type="dxa"/>
              <w:bottom w:w="80" w:type="dxa"/>
              <w:end w:w="120" w:type="dxa"/>
            </w:tcMar>
          </w:tcPr>
          <w:p>
            <w:pPr>
              <w:spacing w:after="40"/>
              <w:jc w:val="center"/>
            </w:pPr>
            <w:r>
              <w:rPr>
                <w:b w:val="0"/>
                <w:sz w:val="18"/>
              </w:rPr>
              <w:t>-0.055511</w:t>
            </w:r>
          </w:p>
        </w:tc>
      </w:tr>
      <w:tr>
        <w:trPr>
          <w:cantSplit/>
        </w:trPr>
        <w:tc>
          <w:tcPr>
            <w:tcW w:type="dxa" w:w="900"/>
            <w:vAlign w:val="center"/>
            <w:tcMar>
              <w:top w:w="80" w:type="dxa"/>
              <w:start w:w="120" w:type="dxa"/>
              <w:bottom w:w="80" w:type="dxa"/>
              <w:end w:w="120" w:type="dxa"/>
            </w:tcMar>
          </w:tcPr>
          <w:p>
            <w:pPr>
              <w:spacing w:after="40"/>
            </w:pPr>
            <w:r>
              <w:rPr>
                <w:b w:val="0"/>
                <w:sz w:val="18"/>
              </w:rPr>
              <w:t>2</w:t>
            </w:r>
          </w:p>
        </w:tc>
        <w:tc>
          <w:tcPr>
            <w:tcW w:type="dxa" w:w="1400"/>
            <w:vAlign w:val="center"/>
            <w:tcMar>
              <w:top w:w="80" w:type="dxa"/>
              <w:start w:w="120" w:type="dxa"/>
              <w:bottom w:w="80" w:type="dxa"/>
              <w:end w:w="120" w:type="dxa"/>
            </w:tcMar>
          </w:tcPr>
          <w:p>
            <w:pPr>
              <w:spacing w:after="40"/>
              <w:jc w:val="center"/>
            </w:pPr>
            <w:r>
              <w:rPr>
                <w:b w:val="0"/>
                <w:sz w:val="18"/>
              </w:rPr>
              <w:t>56</w:t>
            </w:r>
          </w:p>
        </w:tc>
        <w:tc>
          <w:tcPr>
            <w:tcW w:type="dxa" w:w="2400"/>
            <w:vAlign w:val="center"/>
            <w:tcMar>
              <w:top w:w="80" w:type="dxa"/>
              <w:start w:w="120" w:type="dxa"/>
              <w:bottom w:w="80" w:type="dxa"/>
              <w:end w:w="120" w:type="dxa"/>
            </w:tcMar>
          </w:tcPr>
          <w:p>
            <w:pPr>
              <w:spacing w:after="40"/>
              <w:jc w:val="center"/>
            </w:pPr>
            <w:r>
              <w:rPr>
                <w:b w:val="0"/>
                <w:sz w:val="18"/>
              </w:rPr>
              <w:t>+0.008146</w:t>
            </w:r>
          </w:p>
        </w:tc>
        <w:tc>
          <w:tcPr>
            <w:tcW w:type="dxa" w:w="2100"/>
            <w:vAlign w:val="center"/>
            <w:tcMar>
              <w:top w:w="80" w:type="dxa"/>
              <w:start w:w="120" w:type="dxa"/>
              <w:bottom w:w="80" w:type="dxa"/>
              <w:end w:w="120" w:type="dxa"/>
            </w:tcMar>
          </w:tcPr>
          <w:p>
            <w:pPr>
              <w:spacing w:after="40"/>
              <w:jc w:val="center"/>
            </w:pPr>
            <w:r>
              <w:rPr>
                <w:b w:val="0"/>
                <w:sz w:val="18"/>
              </w:rPr>
              <w:t>36</w:t>
            </w:r>
          </w:p>
        </w:tc>
        <w:tc>
          <w:tcPr>
            <w:tcW w:type="dxa" w:w="2560"/>
            <w:vAlign w:val="center"/>
            <w:tcMar>
              <w:top w:w="80" w:type="dxa"/>
              <w:start w:w="120" w:type="dxa"/>
              <w:bottom w:w="80" w:type="dxa"/>
              <w:end w:w="120" w:type="dxa"/>
            </w:tcMar>
          </w:tcPr>
          <w:p>
            <w:pPr>
              <w:spacing w:after="40"/>
              <w:jc w:val="center"/>
            </w:pPr>
            <w:r>
              <w:rPr>
                <w:b w:val="0"/>
                <w:sz w:val="18"/>
              </w:rPr>
              <w:t>-0.017054</w:t>
            </w:r>
          </w:p>
        </w:tc>
      </w:tr>
      <w:tr>
        <w:trPr>
          <w:cantSplit/>
        </w:trPr>
        <w:tc>
          <w:tcPr>
            <w:tcW w:type="dxa" w:w="900"/>
            <w:vAlign w:val="center"/>
            <w:tcMar>
              <w:top w:w="80" w:type="dxa"/>
              <w:start w:w="120" w:type="dxa"/>
              <w:bottom w:w="80" w:type="dxa"/>
              <w:end w:w="120" w:type="dxa"/>
            </w:tcMar>
          </w:tcPr>
          <w:p>
            <w:pPr>
              <w:spacing w:after="40"/>
            </w:pPr>
            <w:r>
              <w:rPr>
                <w:b w:val="0"/>
                <w:sz w:val="18"/>
              </w:rPr>
              <w:t>3</w:t>
            </w:r>
          </w:p>
        </w:tc>
        <w:tc>
          <w:tcPr>
            <w:tcW w:type="dxa" w:w="1400"/>
            <w:vAlign w:val="center"/>
            <w:tcMar>
              <w:top w:w="80" w:type="dxa"/>
              <w:start w:w="120" w:type="dxa"/>
              <w:bottom w:w="80" w:type="dxa"/>
              <w:end w:w="120" w:type="dxa"/>
            </w:tcMar>
          </w:tcPr>
          <w:p>
            <w:pPr>
              <w:spacing w:after="40"/>
              <w:jc w:val="center"/>
            </w:pPr>
            <w:r>
              <w:rPr>
                <w:b w:val="0"/>
                <w:sz w:val="18"/>
              </w:rPr>
              <w:t>100</w:t>
            </w:r>
          </w:p>
        </w:tc>
        <w:tc>
          <w:tcPr>
            <w:tcW w:type="dxa" w:w="2400"/>
            <w:vAlign w:val="center"/>
            <w:tcMar>
              <w:top w:w="80" w:type="dxa"/>
              <w:start w:w="120" w:type="dxa"/>
              <w:bottom w:w="80" w:type="dxa"/>
              <w:end w:w="120" w:type="dxa"/>
            </w:tcMar>
          </w:tcPr>
          <w:p>
            <w:pPr>
              <w:spacing w:after="40"/>
              <w:jc w:val="center"/>
            </w:pPr>
            <w:r>
              <w:rPr>
                <w:b w:val="0"/>
                <w:sz w:val="18"/>
              </w:rPr>
              <w:t>+0.019375</w:t>
            </w:r>
          </w:p>
        </w:tc>
        <w:tc>
          <w:tcPr>
            <w:tcW w:type="dxa" w:w="2100"/>
            <w:vAlign w:val="center"/>
            <w:tcMar>
              <w:top w:w="80" w:type="dxa"/>
              <w:start w:w="120" w:type="dxa"/>
              <w:bottom w:w="80" w:type="dxa"/>
              <w:end w:w="120" w:type="dxa"/>
            </w:tcMar>
          </w:tcPr>
          <w:p>
            <w:pPr>
              <w:spacing w:after="40"/>
              <w:jc w:val="center"/>
            </w:pPr>
            <w:r>
              <w:rPr>
                <w:b w:val="0"/>
                <w:sz w:val="18"/>
              </w:rPr>
              <w:t>27</w:t>
            </w:r>
          </w:p>
        </w:tc>
        <w:tc>
          <w:tcPr>
            <w:tcW w:type="dxa" w:w="2560"/>
            <w:vAlign w:val="center"/>
            <w:tcMar>
              <w:top w:w="80" w:type="dxa"/>
              <w:start w:w="120" w:type="dxa"/>
              <w:bottom w:w="80" w:type="dxa"/>
              <w:end w:w="120" w:type="dxa"/>
            </w:tcMar>
          </w:tcPr>
          <w:p>
            <w:pPr>
              <w:spacing w:after="40"/>
              <w:jc w:val="center"/>
            </w:pPr>
            <w:r>
              <w:rPr>
                <w:b w:val="0"/>
                <w:sz w:val="18"/>
              </w:rPr>
              <w:t>-0.005470</w:t>
            </w:r>
          </w:p>
        </w:tc>
      </w:tr>
      <w:tr>
        <w:trPr>
          <w:cantSplit/>
        </w:trPr>
        <w:tc>
          <w:tcPr>
            <w:tcW w:type="dxa" w:w="900"/>
            <w:vAlign w:val="center"/>
            <w:tcMar>
              <w:top w:w="80" w:type="dxa"/>
              <w:start w:w="120" w:type="dxa"/>
              <w:bottom w:w="80" w:type="dxa"/>
              <w:end w:w="120" w:type="dxa"/>
            </w:tcMar>
          </w:tcPr>
          <w:p>
            <w:pPr>
              <w:spacing w:after="40"/>
            </w:pPr>
            <w:r>
              <w:rPr>
                <w:b w:val="0"/>
                <w:sz w:val="18"/>
              </w:rPr>
              <w:t>4</w:t>
            </w:r>
          </w:p>
        </w:tc>
        <w:tc>
          <w:tcPr>
            <w:tcW w:type="dxa" w:w="1400"/>
            <w:vAlign w:val="center"/>
            <w:tcMar>
              <w:top w:w="80" w:type="dxa"/>
              <w:start w:w="120" w:type="dxa"/>
              <w:bottom w:w="80" w:type="dxa"/>
              <w:end w:w="120" w:type="dxa"/>
            </w:tcMar>
          </w:tcPr>
          <w:p>
            <w:pPr>
              <w:spacing w:after="40"/>
              <w:jc w:val="center"/>
            </w:pPr>
            <w:r>
              <w:rPr>
                <w:b w:val="0"/>
                <w:sz w:val="18"/>
              </w:rPr>
              <w:t>93</w:t>
            </w:r>
          </w:p>
        </w:tc>
        <w:tc>
          <w:tcPr>
            <w:tcW w:type="dxa" w:w="2400"/>
            <w:vAlign w:val="center"/>
            <w:tcMar>
              <w:top w:w="80" w:type="dxa"/>
              <w:start w:w="120" w:type="dxa"/>
              <w:bottom w:w="80" w:type="dxa"/>
              <w:end w:w="120" w:type="dxa"/>
            </w:tcMar>
          </w:tcPr>
          <w:p>
            <w:pPr>
              <w:spacing w:after="40"/>
              <w:jc w:val="center"/>
            </w:pPr>
            <w:r>
              <w:rPr>
                <w:b w:val="0"/>
                <w:sz w:val="18"/>
              </w:rPr>
              <w:t>+0.035148</w:t>
            </w:r>
          </w:p>
        </w:tc>
        <w:tc>
          <w:tcPr>
            <w:tcW w:type="dxa" w:w="2100"/>
            <w:vAlign w:val="center"/>
            <w:tcMar>
              <w:top w:w="80" w:type="dxa"/>
              <w:start w:w="120" w:type="dxa"/>
              <w:bottom w:w="80" w:type="dxa"/>
              <w:end w:w="120" w:type="dxa"/>
            </w:tcMar>
          </w:tcPr>
          <w:p>
            <w:pPr>
              <w:spacing w:after="40"/>
              <w:jc w:val="center"/>
            </w:pPr>
            <w:r>
              <w:rPr>
                <w:b w:val="0"/>
                <w:sz w:val="18"/>
              </w:rPr>
              <w:t>50</w:t>
            </w:r>
          </w:p>
        </w:tc>
        <w:tc>
          <w:tcPr>
            <w:tcW w:type="dxa" w:w="2560"/>
            <w:vAlign w:val="center"/>
            <w:tcMar>
              <w:top w:w="80" w:type="dxa"/>
              <w:start w:w="120" w:type="dxa"/>
              <w:bottom w:w="80" w:type="dxa"/>
              <w:end w:w="120" w:type="dxa"/>
            </w:tcMar>
          </w:tcPr>
          <w:p>
            <w:pPr>
              <w:spacing w:after="40"/>
              <w:jc w:val="center"/>
            </w:pPr>
            <w:r>
              <w:rPr>
                <w:b w:val="0"/>
                <w:sz w:val="18"/>
              </w:rPr>
              <w:t>+0.002470</w:t>
            </w:r>
          </w:p>
        </w:tc>
      </w:tr>
      <w:tr>
        <w:trPr>
          <w:cantSplit/>
        </w:trPr>
        <w:tc>
          <w:tcPr>
            <w:tcW w:type="dxa" w:w="900"/>
            <w:vAlign w:val="center"/>
            <w:tcMar>
              <w:top w:w="80" w:type="dxa"/>
              <w:start w:w="120" w:type="dxa"/>
              <w:bottom w:w="80" w:type="dxa"/>
              <w:end w:w="120" w:type="dxa"/>
            </w:tcMar>
          </w:tcPr>
          <w:p>
            <w:pPr>
              <w:spacing w:after="40"/>
            </w:pPr>
            <w:r>
              <w:rPr>
                <w:b w:val="0"/>
                <w:sz w:val="18"/>
              </w:rPr>
              <w:t>5</w:t>
            </w:r>
          </w:p>
        </w:tc>
        <w:tc>
          <w:tcPr>
            <w:tcW w:type="dxa" w:w="1400"/>
            <w:vAlign w:val="center"/>
            <w:tcMar>
              <w:top w:w="80" w:type="dxa"/>
              <w:start w:w="120" w:type="dxa"/>
              <w:bottom w:w="80" w:type="dxa"/>
              <w:end w:w="120" w:type="dxa"/>
            </w:tcMar>
          </w:tcPr>
          <w:p>
            <w:pPr>
              <w:spacing w:after="40"/>
              <w:jc w:val="center"/>
            </w:pPr>
            <w:r>
              <w:rPr>
                <w:b w:val="0"/>
                <w:sz w:val="18"/>
              </w:rPr>
              <w:t>86</w:t>
            </w:r>
          </w:p>
        </w:tc>
        <w:tc>
          <w:tcPr>
            <w:tcW w:type="dxa" w:w="2400"/>
            <w:vAlign w:val="center"/>
            <w:tcMar>
              <w:top w:w="80" w:type="dxa"/>
              <w:start w:w="120" w:type="dxa"/>
              <w:bottom w:w="80" w:type="dxa"/>
              <w:end w:w="120" w:type="dxa"/>
            </w:tcMar>
          </w:tcPr>
          <w:p>
            <w:pPr>
              <w:spacing w:after="40"/>
              <w:jc w:val="center"/>
            </w:pPr>
            <w:r>
              <w:rPr>
                <w:b w:val="0"/>
                <w:sz w:val="18"/>
              </w:rPr>
              <w:t>+0.047510</w:t>
            </w:r>
          </w:p>
        </w:tc>
        <w:tc>
          <w:tcPr>
            <w:tcW w:type="dxa" w:w="2100"/>
            <w:vAlign w:val="center"/>
            <w:tcMar>
              <w:top w:w="80" w:type="dxa"/>
              <w:start w:w="120" w:type="dxa"/>
              <w:bottom w:w="80" w:type="dxa"/>
              <w:end w:w="120" w:type="dxa"/>
            </w:tcMar>
          </w:tcPr>
          <w:p>
            <w:pPr>
              <w:spacing w:after="40"/>
              <w:jc w:val="center"/>
            </w:pPr>
            <w:r>
              <w:rPr>
                <w:b w:val="0"/>
                <w:sz w:val="18"/>
              </w:rPr>
              <w:t>33</w:t>
            </w:r>
          </w:p>
        </w:tc>
        <w:tc>
          <w:tcPr>
            <w:tcW w:type="dxa" w:w="2560"/>
            <w:vAlign w:val="center"/>
            <w:tcMar>
              <w:top w:w="80" w:type="dxa"/>
              <w:start w:w="120" w:type="dxa"/>
              <w:bottom w:w="80" w:type="dxa"/>
              <w:end w:w="120" w:type="dxa"/>
            </w:tcMar>
          </w:tcPr>
          <w:p>
            <w:pPr>
              <w:spacing w:after="40"/>
              <w:jc w:val="center"/>
            </w:pPr>
            <w:r>
              <w:rPr>
                <w:b w:val="0"/>
                <w:sz w:val="18"/>
              </w:rPr>
              <w:t>+0.042154</w:t>
            </w:r>
          </w:p>
        </w:tc>
      </w:tr>
    </w:tbl>
    <w:p>
      <w:pPr>
        <w:spacing w:after="0"/>
      </w:pPr>
    </w:p>
    <w:p>
      <w:r>
        <w:t>Gap/boundary gain ranges from +0.008146 to +0.047510 bits/token and remains positive in all five folds. The one-to-one substitution series is negative in three folds and positive in only two, with no corrected significance.</w:t>
      </w:r>
    </w:p>
    <w:p>
      <w:pPr>
        <w:pStyle w:val="Heading1"/>
      </w:pPr>
      <w:r>
        <w:t>Scientific interpretation</w:t>
      </w:r>
    </w:p>
    <w:p>
      <w:r>
        <w:t>Two statements can now coexist. First, the exact-agreement partition still contains a small independent structural signal (+0.004403 bits/token, p = 0.00498). Second, the much larger disagreement effect is a boundary-sensitive phenomenon. Since the operator is defined by consecutive token-final y forms, segmentation differences can mechanically create, destroy, lengthen, or shorten qualifying runs.</w:t>
      </w:r>
    </w:p>
    <w:p>
      <w:r>
        <w:t>That does not make the boundary effect meaningless. Transcribers may disagree because the manuscript’s spacing is genuinely ambiguous at structurally special locations. But the current evidence cannot distinguish intentional manuscript spacing from transcription-tokenization artifacts.</w:t>
      </w:r>
    </w:p>
    <w:p>
      <w:pPr>
        <w:pStyle w:val="Heading1"/>
      </w:pPr>
      <w:r>
        <w:t>Next decisive test</w:t>
      </w:r>
    </w:p>
    <w:p>
      <w:r>
        <w:t>Run a shared-boundary normalization. Align the two readings at character level, retain only word boundaries independently present in both transcriptions, reconstruct a common-boundary token stream, and apply the frozen run=4 → X rule without rediscovery. Score the common-boundary stream with page-held folds and the same matched nulls.</w:t>
      </w:r>
    </w:p>
    <w:p>
      <w:r>
        <w:t>If exact-agreement survives while the gap excess collapses, we have a structural core plus a tokenization artifact. If everything collapses, the rule is fundamentally boundary-dependent. If the gap effect survives common boundaries, ambiguous spacing itself becomes the manuscript feature requiring explanation.</w:t>
      </w:r>
    </w:p>
    <w:p>
      <w:pPr>
        <w:pStyle w:val="Heading1"/>
      </w:pPr>
      <w:r>
        <w:t>Interpretation limits</w:t>
      </w:r>
    </w:p>
    <w:p>
      <w:r>
        <w:t>This is a transcription-robustness diagnosis, not a decryption. It establishes neither plaintext nor the purpose of the boundary pattern; it identifies where the strongest effect lives and gives the next test one controlled target.</w:t>
      </w:r>
    </w:p>
    <w:p>
      <w:pPr>
        <w:pStyle w:val="Heading2"/>
      </w:pPr>
      <w:r>
        <w:t>Sealed receipt</w:t>
      </w:r>
    </w:p>
    <w:p>
      <w:r>
        <w:t>Decision: DISPUTED_EXCESS_LOCALIZED_TO_GAP_BOUNDARY</w:t>
      </w:r>
    </w:p>
    <w:p>
      <w:r>
        <w:t>Specification hash: 5d0eb45648d4b5c64591dc2a5888b12f025ca2907fa9291c01f67884e15ace58</w:t>
      </w:r>
    </w:p>
    <w:p>
      <w:r>
        <w:t>Terminal hash: b5660e2ac217262406c317c568451e102f327ea6b549fe1814cadcd83e16f8d4</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v8.24  |  17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77A"/>
        <w:sz w:val="18"/>
      </w:rPr>
      <w:t>ABAD ADAPTIVE ZD30  |  DISAGREEMENT SUBTYPES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80" w:line="247" w:lineRule="auto"/>
    </w:pPr>
    <w:rPr>
      <w:rFonts w:ascii="Calibri" w:hAnsi="Calibri"/>
      <w:b w:val="0"/>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line="247" w:lineRule="auto"/>
      <w:outlineLvl w:val="0"/>
    </w:pPr>
    <w:rPr>
      <w:rFonts w:asciiTheme="majorHAnsi" w:eastAsiaTheme="majorEastAsia" w:hAnsiTheme="majorHAnsi" w:cstheme="majorBidi" w:ascii="Calibri" w:hAnsi="Calibri"/>
      <w:b/>
      <w:bCs/>
      <w:color w:val="2E74B5"/>
      <w:sz w:val="30"/>
      <w:szCs w:val="28"/>
    </w:rPr>
  </w:style>
  <w:style w:type="paragraph" w:styleId="Heading2">
    <w:name w:val="heading 2"/>
    <w:basedOn w:val="Normal"/>
    <w:next w:val="Normal"/>
    <w:link w:val="Heading2Char"/>
    <w:uiPriority w:val="9"/>
    <w:unhideWhenUsed/>
    <w:qFormat/>
    <w:rsid w:val="00FC693F"/>
    <w:pPr>
      <w:keepNext/>
      <w:keepLines/>
      <w:spacing w:before="200" w:after="100" w:line="247" w:lineRule="auto"/>
      <w:outlineLvl w:val="1"/>
    </w:pPr>
    <w:rPr>
      <w:rFonts w:asciiTheme="majorHAnsi" w:eastAsiaTheme="majorEastAsia" w:hAnsiTheme="majorHAnsi" w:cstheme="majorBidi" w:ascii="Calibri" w:hAnsi="Calibr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100" w:line="247" w:lineRule="auto" w:before="0"/>
      <w:contextualSpacing/>
    </w:pPr>
    <w:rPr>
      <w:rFonts w:asciiTheme="majorHAnsi" w:eastAsiaTheme="majorEastAsia" w:hAnsiTheme="majorHAnsi" w:cstheme="majorBidi" w:ascii="Calibri" w:hAnsi="Calibri"/>
      <w:b/>
      <w:color w:val="0B254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before="0" w:after="240" w:line="247" w:lineRule="auto"/>
    </w:pPr>
    <w:rPr>
      <w:rFonts w:asciiTheme="majorHAnsi" w:eastAsiaTheme="majorEastAsia" w:hAnsiTheme="majorHAnsi" w:cstheme="majorBidi" w:ascii="Calibri" w:hAnsi="Calibri"/>
      <w:b w:val="0"/>
      <w:i/>
      <w:iCs/>
      <w:color w:val="5B677A"/>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