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Closing Validation Report</w:t>
      </w:r>
    </w:p>
    <w:p>
      <w:pPr>
        <w:spacing w:after="280"/>
      </w:pPr>
      <w:r>
        <w:rPr>
          <w:color w:val="555555"/>
          <w:sz w:val="28"/>
        </w:rPr>
        <w:t>ABAD × constrained mapping × Adaptive ZD30 • qok/car family</w:t>
      </w:r>
    </w:p>
    <w:p>
      <w:pPr>
        <w:spacing w:after="40"/>
      </w:pPr>
      <w:r>
        <w:rPr>
          <w:b/>
        </w:rPr>
        <w:t xml:space="preserve">Date: </w:t>
      </w:r>
      <w:r>
        <w:t>12 August 2026</w:t>
      </w:r>
    </w:p>
    <w:p>
      <w:pPr>
        <w:spacing w:after="40"/>
      </w:pPr>
      <w:r>
        <w:rPr>
          <w:b/>
        </w:rPr>
        <w:t xml:space="preserve">Protocol: </w:t>
      </w:r>
      <w:r>
        <w:t>v1.5 deterministic five-fold page-grouped validation</w:t>
      </w:r>
    </w:p>
    <w:p>
      <w:pPr>
        <w:spacing w:after="40"/>
      </w:pPr>
      <w:r>
        <w:rPr>
          <w:b/>
        </w:rPr>
        <w:t xml:space="preserve">Receipt: </w:t>
      </w:r>
      <w:r>
        <w:t>106800e21328490beea5d73bd6fda8c29a1d63b0c1a1c83b55c2336daf96a415</w:t>
      </w:r>
    </w:p>
    <w:p>
      <w:pPr>
        <w:spacing w:after="40"/>
      </w:pPr>
      <w:r>
        <w:rPr>
          <w:b/>
        </w:rPr>
        <w:t xml:space="preserve">Decision: </w:t>
      </w:r>
      <w:r>
        <w:t>Structure confirmed; English meaning not validated</w:t>
      </w:r>
    </w:p>
    <w:p>
      <w:pPr>
        <w:pStyle w:val="Heading1"/>
      </w:pPr>
      <w:r>
        <w:t>Executive finding</w:t>
      </w:r>
    </w:p>
    <w:p>
      <w:r>
        <w:rPr>
          <w:b/>
          <w:color w:val="1F4D78"/>
        </w:rPr>
        <w:t>The qok- family is real and highly recurrent, but it does not uniquely discriminate itself from other native Voynich prefix families. The mapping label car- is unusually capable of producing English dictionary hits, yet only 13.65% of its occurrences are recognized and no external evidence establishes that qok means care.</w:t>
      </w:r>
    </w:p>
    <w:p>
      <w:r>
        <w:t>This closes the current internal line of testing at the strongest defensible conclusion: ABAD has isolated productive Voynich morphology. It has not produced a validated English decryption.</w:t>
      </w:r>
    </w:p>
    <w:p>
      <w:pPr>
        <w:pStyle w:val="Heading1"/>
      </w:pPr>
      <w:r>
        <w:t>Locked experiment</w:t>
      </w:r>
    </w:p>
    <w:p>
      <w:pPr>
        <w:pStyle w:val="ListBullet"/>
        <w:spacing w:after="100"/>
        <w:ind w:left="720" w:hanging="360"/>
      </w:pPr>
      <w:r>
        <w:t>Folio assignment used a deterministic hash and five page-grouped folds. Each excluded fold was scored without contributing to that fold’s paradigm or contextual predictions.</w:t>
      </w:r>
    </w:p>
    <w:p>
      <w:pPr>
        <w:pStyle w:val="ListBullet"/>
        <w:spacing w:after="100"/>
        <w:ind w:left="720" w:hanging="360"/>
      </w:pPr>
      <w:r>
        <w:t>The target was the source prefix qok-, corresponding to mapped car-. Results were compared with the 30 nearest eligible source-prefix families by log-frequency distance.</w:t>
      </w:r>
    </w:p>
    <w:p>
      <w:pPr>
        <w:pStyle w:val="ListBullet"/>
        <w:spacing w:after="100"/>
        <w:ind w:left="720" w:hanging="360"/>
      </w:pPr>
      <w:r>
        <w:t>Forward and backward contextual predictions, suffix-paradigm recurrence, and section-distribution stability were scored separately.</w:t>
      </w:r>
    </w:p>
    <w:p>
      <w:pPr>
        <w:pStyle w:val="ListBullet"/>
        <w:spacing w:after="100"/>
        <w:ind w:left="720" w:hanging="360"/>
      </w:pPr>
      <w:r>
        <w:t>The English surface label was compared with 5,000 random one-to-one character mappings.</w:t>
      </w:r>
    </w:p>
    <w:p>
      <w:r>
        <w:rPr>
          <w:b/>
          <w:color w:val="7A5A00"/>
        </w:rPr>
        <w:t xml:space="preserve">Limitation: </w:t>
      </w:r>
      <w:r>
        <w:t>All folios had influenced earlier exploratory work. These folds are a locked internal replication, not a pristine external validation set.</w:t>
      </w:r>
    </w:p>
    <w:p>
      <w:pPr>
        <w:pStyle w:val="Heading1"/>
      </w:pPr>
      <w:r>
        <w:t>Results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951"/>
            <w:shd w:fill="F2F4F7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</w:rPr>
              <w:t>Measure</w:t>
            </w:r>
          </w:p>
        </w:tc>
        <w:tc>
          <w:tcPr>
            <w:tcW w:type="dxa" w:w="1655"/>
            <w:shd w:fill="F2F4F7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</w:rPr>
              <w:t>Observed</w:t>
            </w:r>
          </w:p>
        </w:tc>
        <w:tc>
          <w:tcPr>
            <w:tcW w:type="dxa" w:w="1728"/>
            <w:shd w:fill="F2F4F7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</w:rPr>
              <w:t>Control p</w:t>
            </w:r>
          </w:p>
        </w:tc>
        <w:tc>
          <w:tcPr>
            <w:tcW w:type="dxa" w:w="3024"/>
            <w:shd w:fill="F2F4F7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</w:rPr>
              <w:t>Interpretation</w:t>
            </w:r>
          </w:p>
        </w:tc>
      </w:tr>
      <w:tr>
        <w:tc>
          <w:tcPr>
            <w:tcW w:type="dxa" w:w="2951"/>
            <w:vAlign w:val="center"/>
          </w:tcPr>
          <w:p>
            <w:pPr>
              <w:spacing w:before="40" w:after="40" w:line="240" w:lineRule="auto"/>
            </w:pPr>
            <w:r>
              <w:t>Held-out paradigm recurrence</w:t>
            </w:r>
          </w:p>
        </w:tc>
        <w:tc>
          <w:tcPr>
            <w:tcW w:type="dxa" w:w="1655"/>
            <w:vAlign w:val="center"/>
          </w:tcPr>
          <w:p>
            <w:pPr>
              <w:spacing w:before="40" w:after="40" w:line="240" w:lineRule="auto"/>
            </w:pPr>
            <w:r>
              <w:t>74.44%</w:t>
            </w:r>
          </w:p>
        </w:tc>
        <w:tc>
          <w:tcPr>
            <w:tcW w:type="dxa" w:w="1728"/>
            <w:vAlign w:val="center"/>
          </w:tcPr>
          <w:p>
            <w:pPr>
              <w:spacing w:before="40" w:after="40" w:line="240" w:lineRule="auto"/>
            </w:pPr>
            <w:r>
              <w:t>0.1613</w:t>
            </w:r>
          </w:p>
        </w:tc>
        <w:tc>
          <w:tcPr>
            <w:tcW w:type="dxa" w:w="3024"/>
            <w:vAlign w:val="center"/>
          </w:tcPr>
          <w:p>
            <w:pPr>
              <w:spacing w:before="40" w:after="40" w:line="240" w:lineRule="auto"/>
            </w:pPr>
            <w:r>
              <w:t>Recurrent, not exceptional</w:t>
            </w:r>
          </w:p>
        </w:tc>
      </w:tr>
      <w:tr>
        <w:tc>
          <w:tcPr>
            <w:tcW w:type="dxa" w:w="2951"/>
            <w:vAlign w:val="center"/>
          </w:tcPr>
          <w:p>
            <w:pPr>
              <w:spacing w:before="40" w:after="40" w:line="240" w:lineRule="auto"/>
            </w:pPr>
            <w:r>
              <w:t>Forward context accuracy</w:t>
            </w:r>
          </w:p>
        </w:tc>
        <w:tc>
          <w:tcPr>
            <w:tcW w:type="dxa" w:w="1655"/>
            <w:vAlign w:val="center"/>
          </w:tcPr>
          <w:p>
            <w:pPr>
              <w:spacing w:before="40" w:after="40" w:line="240" w:lineRule="auto"/>
            </w:pPr>
            <w:r>
              <w:t>20.19%</w:t>
            </w:r>
          </w:p>
        </w:tc>
        <w:tc>
          <w:tcPr>
            <w:tcW w:type="dxa" w:w="1728"/>
            <w:vAlign w:val="center"/>
          </w:tcPr>
          <w:p>
            <w:pPr>
              <w:spacing w:before="40" w:after="40" w:line="240" w:lineRule="auto"/>
            </w:pPr>
            <w:r>
              <w:t>0.4194</w:t>
            </w:r>
          </w:p>
        </w:tc>
        <w:tc>
          <w:tcPr>
            <w:tcW w:type="dxa" w:w="3024"/>
            <w:vAlign w:val="center"/>
          </w:tcPr>
          <w:p>
            <w:pPr>
              <w:spacing w:before="40" w:after="40" w:line="240" w:lineRule="auto"/>
            </w:pPr>
            <w:r>
              <w:t>No discrimination</w:t>
            </w:r>
          </w:p>
        </w:tc>
      </w:tr>
      <w:tr>
        <w:tc>
          <w:tcPr>
            <w:tcW w:type="dxa" w:w="2951"/>
            <w:vAlign w:val="center"/>
          </w:tcPr>
          <w:p>
            <w:pPr>
              <w:spacing w:before="40" w:after="40" w:line="240" w:lineRule="auto"/>
            </w:pPr>
            <w:r>
              <w:t>Backward context accuracy</w:t>
            </w:r>
          </w:p>
        </w:tc>
        <w:tc>
          <w:tcPr>
            <w:tcW w:type="dxa" w:w="1655"/>
            <w:vAlign w:val="center"/>
          </w:tcPr>
          <w:p>
            <w:pPr>
              <w:spacing w:before="40" w:after="40" w:line="240" w:lineRule="auto"/>
            </w:pPr>
            <w:r>
              <w:t>20.19%</w:t>
            </w:r>
          </w:p>
        </w:tc>
        <w:tc>
          <w:tcPr>
            <w:tcW w:type="dxa" w:w="1728"/>
            <w:vAlign w:val="center"/>
          </w:tcPr>
          <w:p>
            <w:pPr>
              <w:spacing w:before="40" w:after="40" w:line="240" w:lineRule="auto"/>
            </w:pPr>
            <w:r>
              <w:t>0.4194</w:t>
            </w:r>
          </w:p>
        </w:tc>
        <w:tc>
          <w:tcPr>
            <w:tcW w:type="dxa" w:w="3024"/>
            <w:vAlign w:val="center"/>
          </w:tcPr>
          <w:p>
            <w:pPr>
              <w:spacing w:before="40" w:after="40" w:line="240" w:lineRule="auto"/>
            </w:pPr>
            <w:r>
              <w:t>No direction advantage</w:t>
            </w:r>
          </w:p>
        </w:tc>
      </w:tr>
      <w:tr>
        <w:tc>
          <w:tcPr>
            <w:tcW w:type="dxa" w:w="2951"/>
            <w:vAlign w:val="center"/>
          </w:tcPr>
          <w:p>
            <w:pPr>
              <w:spacing w:before="40" w:after="40" w:line="240" w:lineRule="auto"/>
            </w:pPr>
            <w:r>
              <w:t>Section stability</w:t>
            </w:r>
          </w:p>
        </w:tc>
        <w:tc>
          <w:tcPr>
            <w:tcW w:type="dxa" w:w="1655"/>
            <w:vAlign w:val="center"/>
          </w:tcPr>
          <w:p>
            <w:pPr>
              <w:spacing w:before="40" w:after="40" w:line="240" w:lineRule="auto"/>
            </w:pPr>
            <w:r>
              <w:t>91.16%</w:t>
            </w:r>
          </w:p>
        </w:tc>
        <w:tc>
          <w:tcPr>
            <w:tcW w:type="dxa" w:w="1728"/>
            <w:vAlign w:val="center"/>
          </w:tcPr>
          <w:p>
            <w:pPr>
              <w:spacing w:before="40" w:after="40" w:line="240" w:lineRule="auto"/>
            </w:pPr>
            <w:r>
              <w:t>0.1613</w:t>
            </w:r>
          </w:p>
        </w:tc>
        <w:tc>
          <w:tcPr>
            <w:tcW w:type="dxa" w:w="3024"/>
            <w:vAlign w:val="center"/>
          </w:tcPr>
          <w:p>
            <w:pPr>
              <w:spacing w:before="40" w:after="40" w:line="240" w:lineRule="auto"/>
            </w:pPr>
            <w:r>
              <w:t>Stable, not exceptional</w:t>
            </w:r>
          </w:p>
        </w:tc>
      </w:tr>
      <w:tr>
        <w:tc>
          <w:tcPr>
            <w:tcW w:type="dxa" w:w="2951"/>
            <w:vAlign w:val="center"/>
          </w:tcPr>
          <w:p>
            <w:pPr>
              <w:spacing w:before="40" w:after="40" w:line="240" w:lineRule="auto"/>
            </w:pPr>
            <w:r>
              <w:t>English dictionary coverage</w:t>
            </w:r>
          </w:p>
        </w:tc>
        <w:tc>
          <w:tcPr>
            <w:tcW w:type="dxa" w:w="1655"/>
            <w:vAlign w:val="center"/>
          </w:tcPr>
          <w:p>
            <w:pPr>
              <w:spacing w:before="40" w:after="40" w:line="240" w:lineRule="auto"/>
            </w:pPr>
            <w:r>
              <w:t>13.65%</w:t>
            </w:r>
          </w:p>
        </w:tc>
        <w:tc>
          <w:tcPr>
            <w:tcW w:type="dxa" w:w="1728"/>
            <w:vAlign w:val="center"/>
          </w:tcPr>
          <w:p>
            <w:pPr>
              <w:spacing w:before="40" w:after="40" w:line="240" w:lineRule="auto"/>
            </w:pPr>
            <w:r>
              <w:t>0.00020</w:t>
            </w:r>
          </w:p>
        </w:tc>
        <w:tc>
          <w:tcPr>
            <w:tcW w:type="dxa" w:w="3024"/>
            <w:vAlign w:val="center"/>
          </w:tcPr>
          <w:p>
            <w:pPr>
              <w:spacing w:before="40" w:after="40" w:line="240" w:lineRule="auto"/>
            </w:pPr>
            <w:r>
              <w:t>Unusual surface fit; sparse coverage</w:t>
            </w:r>
          </w:p>
        </w:tc>
      </w:tr>
    </w:tbl>
    <w:p>
      <w:pPr>
        <w:spacing w:before="160"/>
      </w:pPr>
      <w:r>
        <w:rPr>
          <w:b/>
        </w:rPr>
        <w:t xml:space="preserve">Corpus scale: </w:t>
      </w:r>
      <w:r>
        <w:t>1,267 qok- occurrences representing 130 source types. Every fold retained between 152 and 342 held-out occurrences.</w:t>
      </w:r>
    </w:p>
    <w:p>
      <w:pPr>
        <w:pStyle w:val="Heading1"/>
      </w:pPr>
      <w:r>
        <w:t>Why the significant English label is not a decryption</w:t>
      </w:r>
    </w:p>
    <w:p>
      <w:pPr>
        <w:pStyle w:val="ListBullet"/>
        <w:spacing w:after="100"/>
        <w:ind w:left="720" w:hanging="360"/>
      </w:pPr>
      <w:r>
        <w:t>A one-to-one substitution preserves the qok family and its recurrence. Calling it car changes the spelling, not the underlying structure.</w:t>
      </w:r>
    </w:p>
    <w:p>
      <w:pPr>
        <w:pStyle w:val="ListBullet"/>
        <w:spacing w:after="100"/>
        <w:ind w:left="720" w:hanging="360"/>
      </w:pPr>
      <w:r>
        <w:t>The low random-mapping p-value shows that the chosen mapping creates more dictionary matches than random bijections; it does not show that those matches carry the manuscript’s intended meanings.</w:t>
      </w:r>
    </w:p>
    <w:p>
      <w:pPr>
        <w:pStyle w:val="ListBullet"/>
        <w:spacing w:after="100"/>
        <w:ind w:left="720" w:hanging="360"/>
      </w:pPr>
      <w:r>
        <w:t>Nearly 86.35% of mapped qok/car occurrences remain outside the frozen English dictionary.</w:t>
      </w:r>
    </w:p>
    <w:p>
      <w:pPr>
        <w:pStyle w:val="ListBullet"/>
        <w:spacing w:after="100"/>
        <w:ind w:left="720" w:hanging="360"/>
      </w:pPr>
      <w:r>
        <w:t>No illustration-conditioned shift, bilingual key, stable sentence grammar, or externally verified semantic prediction confirms care.</w:t>
      </w:r>
    </w:p>
    <w:p>
      <w:pPr>
        <w:pStyle w:val="Heading1"/>
      </w:pPr>
      <w:r>
        <w:t>Direction and sidequest result</w:t>
      </w:r>
    </w:p>
    <w:p>
      <w:r>
        <w:t>Forward and backward contextual accuracy were identical at 20.19%. Under the frozen operators, forward is the identity operation and backward is reversal. Therefore:</w:t>
      </w:r>
    </w:p>
    <w:p>
      <w:pPr>
        <w:jc w:val="center"/>
      </w:pPr>
      <w:r>
        <w:rPr>
          <w:b/>
          <w:color w:val="1F4D78"/>
          <w:sz w:val="32"/>
        </w:rPr>
        <w:t>F → B → F = B</w:t>
      </w:r>
    </w:p>
    <w:p>
      <w:r>
        <w:t>The forward–backward–forward sidequest is not an independent confirmation; it is algebraically and empirically the same reversal.</w:t>
      </w:r>
    </w:p>
    <w:p>
      <w:pPr>
        <w:pStyle w:val="Heading1"/>
      </w:pPr>
      <w:r>
        <w:t>Final disposition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5616"/>
            <w:shd w:fill="F2F4F7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</w:rPr>
              <w:t>Question</w:t>
            </w:r>
          </w:p>
        </w:tc>
        <w:tc>
          <w:tcPr>
            <w:tcW w:type="dxa" w:w="3744"/>
            <w:shd w:fill="F2F4F7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</w:rPr>
              <w:t>Decision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before="40" w:after="40" w:line="240" w:lineRule="auto"/>
            </w:pPr>
            <w:r>
              <w:t>Did ABAD isolate a real recurring family?</w:t>
            </w:r>
          </w:p>
        </w:tc>
        <w:tc>
          <w:tcPr>
            <w:tcW w:type="dxa" w:w="3744"/>
            <w:vAlign w:val="center"/>
          </w:tcPr>
          <w:p>
            <w:pPr>
              <w:spacing w:before="40" w:after="40" w:line="240" w:lineRule="auto"/>
            </w:pPr>
            <w:r>
              <w:t>Yes.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before="40" w:after="40" w:line="240" w:lineRule="auto"/>
            </w:pPr>
            <w:r>
              <w:t>Is qok- unusually predictive among comparable families?</w:t>
            </w:r>
          </w:p>
        </w:tc>
        <w:tc>
          <w:tcPr>
            <w:tcW w:type="dxa" w:w="3744"/>
            <w:vAlign w:val="center"/>
          </w:tcPr>
          <w:p>
            <w:pPr>
              <w:spacing w:before="40" w:after="40" w:line="240" w:lineRule="auto"/>
            </w:pPr>
            <w:r>
              <w:t>No under the closing controls.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before="40" w:after="40" w:line="240" w:lineRule="auto"/>
            </w:pPr>
            <w:r>
              <w:t>Is car- an unusually English-looking surface mapping?</w:t>
            </w:r>
          </w:p>
        </w:tc>
        <w:tc>
          <w:tcPr>
            <w:tcW w:type="dxa" w:w="3744"/>
            <w:vAlign w:val="center"/>
          </w:tcPr>
          <w:p>
            <w:pPr>
              <w:spacing w:before="40" w:after="40" w:line="240" w:lineRule="auto"/>
            </w:pPr>
            <w:r>
              <w:t>Yes, but coverage is sparse and selection-conditioned.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before="40" w:after="40" w:line="240" w:lineRule="auto"/>
            </w:pPr>
            <w:r>
              <w:t>Does qok mean English care?</w:t>
            </w:r>
          </w:p>
        </w:tc>
        <w:tc>
          <w:tcPr>
            <w:tcW w:type="dxa" w:w="3744"/>
            <w:vAlign w:val="center"/>
          </w:tcPr>
          <w:p>
            <w:pPr>
              <w:spacing w:before="40" w:after="40" w:line="240" w:lineRule="auto"/>
            </w:pPr>
            <w:r>
              <w:t>Not established.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before="40" w:after="40" w:line="240" w:lineRule="auto"/>
            </w:pPr>
            <w:r>
              <w:t>Has the Voynich Manuscript been decrypted?</w:t>
            </w:r>
          </w:p>
        </w:tc>
        <w:tc>
          <w:tcPr>
            <w:tcW w:type="dxa" w:w="3744"/>
            <w:vAlign w:val="center"/>
          </w:tcPr>
          <w:p>
            <w:pPr>
              <w:spacing w:before="40" w:after="40" w:line="240" w:lineRule="auto"/>
            </w:pPr>
            <w:r>
              <w:t>No.</w:t>
            </w:r>
          </w:p>
        </w:tc>
      </w:tr>
    </w:tbl>
    <w:p>
      <w:pPr>
        <w:spacing w:before="200"/>
      </w:pPr>
      <w:r>
        <w:rPr>
          <w:b/>
          <w:color w:val="9B1C1C"/>
        </w:rPr>
        <w:t xml:space="preserve">Closing statement: </w:t>
      </w:r>
      <w:r>
        <w:t>The current evidence validates morphology, not semantics. Further internal transformations of the same corpus should stop. The claim can advance only through an external key, a genuinely unseen transcription/corpus partition, or preregistered semantic predictions confirmed independently.</w:t>
      </w:r>
    </w:p>
    <w:p>
      <w:pPr>
        <w:pStyle w:val="Heading1"/>
      </w:pPr>
      <w:r>
        <w:t>Sealed reproducibility record</w:t>
      </w:r>
    </w:p>
    <w:p>
      <w:pPr>
        <w:spacing w:after="40"/>
      </w:pPr>
      <w:r>
        <w:rPr>
          <w:b/>
        </w:rPr>
        <w:t xml:space="preserve">Receipt SHA-256: </w:t>
      </w:r>
      <w:r>
        <w:t>106800e21328490beea5d73bd6fda8c29a1d63b0c1a1c83b55c2336daf96a415</w:t>
      </w:r>
    </w:p>
    <w:p>
      <w:pPr>
        <w:spacing w:after="40"/>
      </w:pPr>
      <w:r>
        <w:rPr>
          <w:b/>
        </w:rPr>
        <w:t xml:space="preserve">Parent: </w:t>
      </w:r>
      <w:r>
        <w:t>Adaptive ZD30 v1.2</w:t>
      </w:r>
    </w:p>
    <w:p>
      <w:pPr>
        <w:spacing w:after="40"/>
      </w:pPr>
      <w:r>
        <w:rPr>
          <w:b/>
        </w:rPr>
        <w:t xml:space="preserve">Validation: </w:t>
      </w:r>
      <w:r>
        <w:t>5 deterministic page-grouped folds; 30 nearest eligible source-prefix controls; 5,000 random surface bijections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440" w:bottom="979" w:left="1440" w:header="461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77777"/>
        <w:sz w:val="18"/>
      </w:rPr>
      <w:t>Sealed internal validation • v1.5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8"/>
      </w:rPr>
      <w:t>ABAD / VOYNICH CLOSING VALIDATION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