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ABAD Adaptive ZD30 v6.0</w:t>
      </w:r>
    </w:p>
    <w:p>
      <w:pPr>
        <w:pStyle w:val="Subtitle"/>
      </w:pPr>
      <w:r>
        <w:t>Mathematical / Constrained Generative Structure Test</w:t>
      </w:r>
    </w:p>
    <w:p>
      <w:pPr>
        <w:pStyle w:val="Heading1"/>
      </w:pPr>
      <w:r>
        <w:t>SEALED OUTCOME</w:t>
      </w:r>
    </w:p>
    <w:p>
      <w:r>
        <w:rPr>
          <w:b/>
          <w:color w:val="9B1C1C"/>
          <w:sz w:val="30"/>
        </w:rPr>
        <w:t>G2-S1: FAIL — REAL SIGNAL, INSUFFICIENT PARSIMONY.</w:t>
      </w:r>
    </w:p>
    <w:p>
      <w:r>
        <w:t>The finite-state grammar predicts held-out structure reliably and across most pages, but its information gain does not pay for its transition parameters under the pre-declared MDL charge. Therefore the primary G2-S1 mathematical-constraint branch is closed for this exact seven-model family.</w:t>
      </w:r>
    </w:p>
    <w:p>
      <w:pPr>
        <w:spacing w:before="160" w:after="160"/>
      </w:pPr>
      <w:r>
        <w:rPr>
          <w:b/>
          <w:color w:val="1F5F41"/>
        </w:rPr>
        <w:t xml:space="preserve">What survived:  </w:t>
      </w:r>
      <w:r>
        <w:t>Raw gain +0.02631 bits/token; accuracy 35.74% → 38.78%; all 5 folds positive; 75% of pages positive; selection-aware p = 0.00498.</w:t>
      </w:r>
    </w:p>
    <w:p>
      <w:pPr>
        <w:spacing w:before="160" w:after="160"/>
      </w:pPr>
      <w:r>
        <w:rPr>
          <w:b/>
          <w:color w:val="9B1C1C"/>
        </w:rPr>
        <w:t xml:space="preserve">What failed:  </w:t>
      </w:r>
      <w:r>
        <w:t>The parameter charge was 0.03614 bits/token, leaving -0.00983 bits/token.</w:t>
      </w:r>
    </w:p>
    <w:p>
      <w:pPr>
        <w:pStyle w:val="Heading1"/>
      </w:pPr>
      <w:r>
        <w:t>Primary gates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3528"/>
        <w:gridCol w:w="1440"/>
        <w:gridCol w:w="4392"/>
      </w:tblGrid>
      <w:tr>
        <w:trPr>
          <w:tblHeader w:val="true"/>
        </w:trPr>
        <w:tc>
          <w:tcPr>
            <w:tcW w:type="dxa" w:w="3528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Gate</w:t>
            </w:r>
          </w:p>
        </w:tc>
        <w:tc>
          <w:tcPr>
            <w:tcW w:type="dxa" w:w="144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Outcome</w:t>
            </w:r>
          </w:p>
        </w:tc>
        <w:tc>
          <w:tcPr>
            <w:tcW w:type="dxa" w:w="4392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Meaning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MDL-adjusted gain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FAIL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penalized gain &gt; 0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Versus language phase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≥4 folds vs z = −3.33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Fold stability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≥4/5 positive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Page dispersion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≥60% positive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Raw structural gain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gain &gt; 0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Same-search null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 &lt; .05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Versus language structure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positive vs z = −0.81</w:t>
            </w:r>
          </w:p>
        </w:tc>
      </w:tr>
      <w:tr>
        <w:tc>
          <w:tcPr>
            <w:tcW w:type="dxa" w:w="352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Carrier concentration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43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top 10% ≤50% evidence</w:t>
            </w:r>
          </w:p>
        </w:tc>
      </w:tr>
    </w:tbl>
    <w:p>
      <w:pPr>
        <w:spacing w:after="40"/>
      </w:pPr>
    </w:p>
    <w:p>
      <w:pPr>
        <w:pStyle w:val="Heading1"/>
      </w:pPr>
      <w:r>
        <w:t>Simple conclusion</w:t>
      </w:r>
    </w:p>
    <w:p>
      <w:r>
        <w:t>There is a genuine ending-based structural rule in G2-S1. But calling it a compact mathematical generator would overstate the result: the model needs more transition coefficients than its held-out information gain justifies. The evidence supports predictable structure, not yet a parsimonious generating formula.</w:t>
      </w:r>
    </w:p>
    <w:p>
      <w:pPr>
        <w:pStyle w:val="Heading1"/>
        <w:pageBreakBefore/>
      </w:pPr>
      <w:r>
        <w:t>Frozen model and controls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2376"/>
        <w:gridCol w:w="6983"/>
      </w:tblGrid>
      <w:tr>
        <w:trPr>
          <w:tblHeader w:val="true"/>
        </w:trPr>
        <w:tc>
          <w:tcPr>
            <w:tcW w:type="dxa" w:w="2376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Element</w:t>
            </w:r>
          </w:p>
        </w:tc>
        <w:tc>
          <w:tcPr>
            <w:tcW w:type="dxa" w:w="6983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Pre-registered definition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Primary corpus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G2-S1; 84 frozen folios; contributor membership unchanged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Secondary transport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G1-S1, G1-S2, and G2-S2 under the identical family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States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Final glyph l, n, o, r, s, y, plus explicit OTHER catch-all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Target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Next actual token broad class A/B/D/X across line boundaries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Generator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Smoothed categorical transition matrix P(next class | final-glyph state, optional constraint)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Candidate constraints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None; ABAD phase-4; length mod 2; length mod 3; line slot; ABAD×mod2; ABAD×line slot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ABAD phase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Within-line token index modulo 4, frozen as A1–B–A2–D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Selection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Training-only maximum two-part BIC/MDL; ties favor fewer parameters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Validation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Five deterministic page folds; untouched held-out pages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Complexity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0.5 × parameters × log2(N training), normalized per training token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Null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200 within-page paired-label permutations; full seven-model re-search each replicate</w:t>
            </w:r>
          </w:p>
        </w:tc>
      </w:tr>
      <w:tr>
        <w:tc>
          <w:tcPr>
            <w:tcW w:type="dxa" w:w="237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Excluded</w:t>
            </w:r>
          </w:p>
        </w:tc>
        <w:tc>
          <w:tcPr>
            <w:tcW w:type="dxa" w:w="6983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Dictionaries, substitutions, semantic scoring, and lexical coverage</w:t>
            </w:r>
          </w:p>
        </w:tc>
      </w:tr>
    </w:tbl>
    <w:p>
      <w:pPr>
        <w:spacing w:after="40"/>
      </w:pPr>
    </w:p>
    <w:p>
      <w:pPr>
        <w:pStyle w:val="Heading1"/>
      </w:pPr>
      <w:r>
        <w:t>Fold behavior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792"/>
        <w:gridCol w:w="2880"/>
        <w:gridCol w:w="1224"/>
        <w:gridCol w:w="1440"/>
        <w:gridCol w:w="1440"/>
        <w:gridCol w:w="1584"/>
      </w:tblGrid>
      <w:tr>
        <w:trPr>
          <w:tblHeader w:val="true"/>
        </w:trPr>
        <w:tc>
          <w:tcPr>
            <w:tcW w:type="dxa" w:w="792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Fold</w:t>
            </w:r>
          </w:p>
        </w:tc>
        <w:tc>
          <w:tcPr>
            <w:tcW w:type="dxa" w:w="288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Selected grammar</w:t>
            </w:r>
          </w:p>
        </w:tc>
        <w:tc>
          <w:tcPr>
            <w:tcW w:type="dxa" w:w="1224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Tokens</w:t>
            </w:r>
          </w:p>
        </w:tc>
        <w:tc>
          <w:tcPr>
            <w:tcW w:type="dxa" w:w="144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Raw bits</w:t>
            </w:r>
          </w:p>
        </w:tc>
        <w:tc>
          <w:tcPr>
            <w:tcW w:type="dxa" w:w="144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Penalty</w:t>
            </w:r>
          </w:p>
        </w:tc>
        <w:tc>
          <w:tcPr>
            <w:tcW w:type="dxa" w:w="1584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7"/>
              </w:rPr>
              <w:t>Net bits</w:t>
            </w:r>
          </w:p>
        </w:tc>
      </w:tr>
      <w:t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FG</w:t>
            </w:r>
          </w:p>
        </w:tc>
        <w:tc>
          <w:tcPr>
            <w:tcW w:type="dxa" w:w="122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1404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+0.0325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0.0220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+0.0105</w:t>
            </w:r>
          </w:p>
        </w:tc>
      </w:tr>
      <w:t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1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FG</w:t>
            </w:r>
          </w:p>
        </w:tc>
        <w:tc>
          <w:tcPr>
            <w:tcW w:type="dxa" w:w="122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805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+0.0322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0.0202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+0.0120</w:t>
            </w:r>
          </w:p>
        </w:tc>
      </w:tr>
      <w:t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2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FG_LINESLOT3</w:t>
            </w:r>
          </w:p>
        </w:tc>
        <w:tc>
          <w:tcPr>
            <w:tcW w:type="dxa" w:w="122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2026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+0.0304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0.0728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-0.0424</w:t>
            </w:r>
          </w:p>
        </w:tc>
      </w:tr>
      <w:t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3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FG</w:t>
            </w:r>
          </w:p>
        </w:tc>
        <w:tc>
          <w:tcPr>
            <w:tcW w:type="dxa" w:w="122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1929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+0.0126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0.0239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-0.0113</w:t>
            </w:r>
          </w:p>
        </w:tc>
      </w:tr>
      <w:tr>
        <w:tc>
          <w:tcPr>
            <w:tcW w:type="dxa" w:w="79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4</w:t>
            </w:r>
          </w:p>
        </w:tc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FG</w:t>
            </w:r>
          </w:p>
        </w:tc>
        <w:tc>
          <w:tcPr>
            <w:tcW w:type="dxa" w:w="122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1223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+0.0302</w:t>
            </w:r>
          </w:p>
        </w:tc>
        <w:tc>
          <w:tcPr>
            <w:tcW w:type="dxa" w:w="14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0.0214</w:t>
            </w:r>
          </w:p>
        </w:tc>
        <w:tc>
          <w:tcPr>
            <w:tcW w:type="dxa" w:w="15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7"/>
              </w:rPr>
              <w:t>+0.0088</w:t>
            </w:r>
          </w:p>
        </w:tc>
      </w:tr>
    </w:tbl>
    <w:p>
      <w:pPr>
        <w:spacing w:after="40"/>
      </w:pPr>
    </w:p>
    <w:p>
      <w:pPr>
        <w:pStyle w:val="Caption"/>
      </w:pPr>
      <w:r>
        <w:t>Four folds selected the plain final-glyph matrix. One selected final glyph plus line slot. No fold selected ABAD phase or length-modular constraints, so those extra mathematical rules did not earn support.</w:t>
      </w:r>
    </w:p>
    <w:p>
      <w:pPr>
        <w:pStyle w:val="Heading1"/>
        <w:pageBreakBefore/>
      </w:pPr>
      <w:r>
        <w:t>Transport across contributor blocks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1296"/>
        <w:gridCol w:w="1296"/>
        <w:gridCol w:w="1655"/>
        <w:gridCol w:w="1655"/>
        <w:gridCol w:w="1512"/>
        <w:gridCol w:w="1944"/>
      </w:tblGrid>
      <w:tr>
        <w:trPr>
          <w:tblHeader w:val="true"/>
        </w:trPr>
        <w:tc>
          <w:tcPr>
            <w:tcW w:type="dxa" w:w="1296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Block</w:t>
            </w:r>
          </w:p>
        </w:tc>
        <w:tc>
          <w:tcPr>
            <w:tcW w:type="dxa" w:w="1296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Decision</w:t>
            </w:r>
          </w:p>
        </w:tc>
        <w:tc>
          <w:tcPr>
            <w:tcW w:type="dxa" w:w="1655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Raw bits</w:t>
            </w:r>
          </w:p>
        </w:tc>
        <w:tc>
          <w:tcPr>
            <w:tcW w:type="dxa" w:w="1655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Net bits</w:t>
            </w:r>
          </w:p>
        </w:tc>
        <w:tc>
          <w:tcPr>
            <w:tcW w:type="dxa" w:w="1512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p</w:t>
            </w:r>
          </w:p>
        </w:tc>
        <w:tc>
          <w:tcPr>
            <w:tcW w:type="dxa" w:w="1944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Positive pages</w:t>
            </w:r>
          </w:p>
        </w:tc>
      </w:tr>
      <w:tr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G1-S1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+0.0581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+0.0316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0.00498</w:t>
            </w:r>
          </w:p>
        </w:tc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94%</w:t>
            </w:r>
          </w:p>
        </w:tc>
      </w:tr>
      <w:tr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G1-S2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PASS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+0.1368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+0.0923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0.00498</w:t>
            </w:r>
          </w:p>
        </w:tc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97%</w:t>
            </w:r>
          </w:p>
        </w:tc>
      </w:tr>
      <w:tr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G2-S1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FAIL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+0.0263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-0.0098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0.00498</w:t>
            </w:r>
          </w:p>
        </w:tc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75%</w:t>
            </w:r>
          </w:p>
        </w:tc>
      </w:tr>
      <w:tr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G2-S2</w:t>
            </w:r>
          </w:p>
        </w:tc>
        <w:tc>
          <w:tcPr>
            <w:tcW w:type="dxa" w:w="129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FAIL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+0.0132</w:t>
            </w:r>
          </w:p>
        </w:tc>
        <w:tc>
          <w:tcPr>
            <w:tcW w:type="dxa" w:w="165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-0.0089</w:t>
            </w:r>
          </w:p>
        </w:tc>
        <w:tc>
          <w:tcPr>
            <w:tcW w:type="dxa" w:w="1512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0.00498</w:t>
            </w:r>
          </w:p>
        </w:tc>
        <w:tc>
          <w:tcPr>
            <w:tcW w:type="dxa" w:w="194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72%</w:t>
            </w:r>
          </w:p>
        </w:tc>
      </w:tr>
    </w:tbl>
    <w:p>
      <w:pPr>
        <w:spacing w:after="40"/>
      </w:pPr>
    </w:p>
    <w:p>
      <w:pPr>
        <w:spacing w:before="160" w:after="160"/>
      </w:pPr>
      <w:r>
        <w:rPr>
          <w:b/>
          <w:color w:val="7A5A00"/>
        </w:rPr>
        <w:t xml:space="preserve">Unexpected secondary finding:  </w:t>
      </w:r>
      <w:r>
        <w:t>The identical family passes in G1-S1 and G1-S2, with G1-S2 showing the strongest net gain. G2-S2, like G2-S1, fails after complexity. This is a contributor-group difference in compressibility, not a language result.</w:t>
      </w:r>
    </w:p>
    <w:p>
      <w:r>
        <w:t>The secondary passes do not rescue the primary decision. The protocol declared G2-S1 as the target and treated other blocks only as transport diagnostics. They do, however, show that the model class is not universally incapable; its parsimony depends strongly on contributor grouping.</w:t>
      </w:r>
    </w:p>
    <w:p>
      <w:pPr>
        <w:pStyle w:val="Heading1"/>
      </w:pPr>
      <w:r>
        <w:t>Direct comparison with v5.0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Layout w:type="fixed"/>
      </w:tblPr>
      <w:tblGrid>
        <w:gridCol w:w="2880"/>
        <w:gridCol w:w="3168"/>
        <w:gridCol w:w="3311"/>
      </w:tblGrid>
      <w:tr>
        <w:trPr>
          <w:tblHeader w:val="true"/>
        </w:trPr>
        <w:tc>
          <w:tcPr>
            <w:tcW w:type="dxa" w:w="2880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Measure</w:t>
            </w:r>
          </w:p>
        </w:tc>
        <w:tc>
          <w:tcPr>
            <w:tcW w:type="dxa" w:w="3168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v5.0 Middle English</w:t>
            </w:r>
          </w:p>
        </w:tc>
        <w:tc>
          <w:tcPr>
            <w:tcW w:type="dxa" w:w="3311"/>
            <w:shd w:fill="E8EEF5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0B2545"/>
                <w:sz w:val="18"/>
              </w:rPr>
              <w:t>v6.0 G2-S1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Lexical coverage</w:t>
            </w: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41.07%</w:t>
            </w:r>
          </w:p>
        </w:tc>
        <w:tc>
          <w:tcPr>
            <w:tcW w:type="dxa" w:w="331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Not measured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Structural evidence</w:t>
            </w: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z = -0.81</w:t>
            </w:r>
          </w:p>
        </w:tc>
        <w:tc>
          <w:tcPr>
            <w:tcW w:type="dxa" w:w="331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+0.02631 raw bits/token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Phase / stability</w:t>
            </w: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z = -3.33</w:t>
            </w:r>
          </w:p>
        </w:tc>
        <w:tc>
          <w:tcPr>
            <w:tcW w:type="dxa" w:w="331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5/5 positive held-out folds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Page failure</w:t>
            </w: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81.4% worst-page null</w:t>
            </w:r>
          </w:p>
        </w:tc>
        <w:tc>
          <w:tcPr>
            <w:tcW w:type="dxa" w:w="331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75% pages positive</w:t>
            </w:r>
          </w:p>
        </w:tc>
      </w:tr>
      <w:tr>
        <w:tc>
          <w:tcPr>
            <w:tcW w:type="dxa" w:w="28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Final decision</w:t>
            </w:r>
          </w:p>
        </w:tc>
        <w:tc>
          <w:tcPr>
            <w:tcW w:type="dxa" w:w="31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FAIL</w:t>
            </w:r>
          </w:p>
        </w:tc>
        <w:tc>
          <w:tcPr>
            <w:tcW w:type="dxa" w:w="331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40" w:lineRule="auto"/>
            </w:pPr>
            <w:r>
              <w:rPr>
                <w:sz w:val="18"/>
              </w:rPr>
              <w:t>FAIL (complexity)</w:t>
            </w:r>
          </w:p>
        </w:tc>
      </w:tr>
    </w:tbl>
    <w:p>
      <w:pPr>
        <w:spacing w:after="40"/>
      </w:pPr>
    </w:p>
    <w:p>
      <w:pPr>
        <w:pStyle w:val="Caption"/>
      </w:pPr>
      <w:r>
        <w:t>v6.0 explains structural regularity better than the failed language mapping, but it still does not meet its own parsimony gate. The two tests answer different questions; 41.07% word-list coverage is not comparable to bits/token and is not evidence of translation.</w:t>
      </w:r>
    </w:p>
    <w:p>
      <w:pPr>
        <w:pStyle w:val="Heading1"/>
        <w:pageBreakBefore/>
      </w:pPr>
      <w:r>
        <w:t>Interpretation, closure, and receipt</w:t>
      </w:r>
    </w:p>
    <w:p>
      <w:pPr>
        <w:pStyle w:val="Heading2"/>
      </w:pPr>
      <w:r>
        <w:t>Supported</w:t>
      </w:r>
    </w:p>
    <w:p>
      <w:r>
        <w:t>A manuscript-internal final-glyph state carries reproducible information about the next broad structural class in G2-S1. The signal is not confined to a few carrier pages and is substantially above the same-search null distribution.</w:t>
      </w:r>
    </w:p>
    <w:p>
      <w:pPr>
        <w:pStyle w:val="Heading2"/>
      </w:pPr>
      <w:r>
        <w:t>Not supported</w:t>
      </w:r>
    </w:p>
    <w:p>
      <w:r>
        <w:t>The declared ABAD, modular-length, and line-slot grammar family does not provide a parsimonious generator for G2-S1. No language, mathematical plaintext, author chronology, semantic layer, or decryption follows from this result.</w:t>
      </w:r>
    </w:p>
    <w:p>
      <w:pPr>
        <w:pStyle w:val="Heading2"/>
      </w:pPr>
      <w:r>
        <w:t>Stopping rule</w:t>
      </w:r>
    </w:p>
    <w:p>
      <w:r>
        <w:t>The seven-candidate finite-state branch is closed for G2-S1 on these folds. It must not be expanded post-hoc and re-tested against the same held-out pages. A future branch requires a genuinely new pre-registered mechanism and fresh evaluation partition.</w:t>
      </w:r>
    </w:p>
    <w:p>
      <w:pPr>
        <w:pStyle w:val="Heading2"/>
      </w:pPr>
      <w:r>
        <w:t>Best next scientific move</w:t>
      </w:r>
    </w:p>
    <w:p>
      <w:r>
        <w:t>Explain why G1-S1/G1-S2 compress while G2-S1/G2-S2 do not. Freeze a group-level contrast before inspecting outcomes: train the lowest-complexity winning G1 grammar on one G1 block, transport it unchanged to the other G1 block, and test the same frozen rule on both G2 blocks. This separates a shared G1 mechanism from block-specific fitting without reopening the failed G2-S1 search.</w:t>
      </w:r>
    </w:p>
    <w:p>
      <w:pPr>
        <w:pStyle w:val="Heading1"/>
      </w:pPr>
      <w:r>
        <w:t>Receipt identifiers</w:t>
      </w:r>
    </w:p>
    <w:p>
      <w:r>
        <w:t>Specification hash: 104890325bf9c851ad60f39c2d02046025d34e6c3c01fd7fef7681d49a4f15bf</w:t>
        <w:br/>
        <w:t>Model definition hash: d763d9a22ed40ffa4dace65f01616c0b7899800973232a142f1c56a510a5551f</w:t>
        <w:br/>
        <w:t>Complexity hash: debc0007c25e07fb6706753617858659bfae52705c029c90ed3e3865439ca55e</w:t>
        <w:br/>
        <w:t>Terminal receipt hash: 655b3bd2087846847ad9b41fa1054ca0d8e0b990482676b5a475f3173d34debb</w:t>
      </w:r>
    </w:p>
    <w:p>
      <w:pPr>
        <w:pStyle w:val="Caption"/>
      </w:pPr>
      <w:r>
        <w:t>The machine package includes MASTER_SPEC.json, MASTER_RECEIPT.json, MODEL_DEFINITION.json, COMPLEXITY_ACCOUNTING.json, and DIRECT_COMPARISON_V5_0.csv. No lexical mapping was performed.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46E"/>
        <w:sz w:val="18"/>
      </w:rPr>
      <w:t xml:space="preserve">v6.0  |  15 August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46E"/>
        <w:sz w:val="18"/>
      </w:rPr>
      <w:t>ABAD ADAPTIVE ZD30  •  STRUCTURE-ONLY RESEARCH RECEIPT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/>
    </w:pPr>
    <w:rPr>
      <w:rFonts w:asciiTheme="majorHAnsi" w:eastAsiaTheme="majorEastAsia" w:hAnsiTheme="majorHAnsi" w:cstheme="majorBidi" w:ascii="Calibri" w:hAnsi="Calibri"/>
      <w:b w:val="0"/>
      <w:i/>
      <w:iCs/>
      <w:color w:val="5A646E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