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REPLICATION IS REAL—BUT UNEVEN</w:t>
      </w:r>
    </w:p>
    <w:p>
      <w:pPr>
        <w:pStyle w:val="Subtitle"/>
      </w:pPr>
      <w:r>
        <w:t>Paired consensus-versus-disputed transcription challenge</w:t>
      </w:r>
    </w:p>
    <w:p>
      <w:r>
        <w:rPr>
          <w:b/>
          <w:color w:val="9B1C1C"/>
        </w:rPr>
        <w:t xml:space="preserve">DECISION  </w:t>
      </w:r>
      <w:r>
        <w:t>The frozen rule remains significant in transcription-agreeing material, but disputed readings carry disproportionate evidence. The strict consensus-concentration gate fails.</w:t>
      </w:r>
    </w:p>
    <w:p>
      <w:pPr>
        <w:pStyle w:val="Heading1"/>
      </w:pPr>
      <w:r>
        <w:t>Executive result</w:t>
      </w:r>
    </w:p>
    <w:p>
      <w:r>
        <w:t>Eligible tokens from the 1998 Takeshi Takahashi transcription were aligned by page and line to the 2022 ZL/EVMT reading. Each Takahashi emission was labeled AGREE only when its current EVA token matched exactly under sequence alignment. Target class, run status, role, and model score were excluded from that label. The previously frozen run=4 → X coefficient was then scored separately in the two partitions.</w:t>
      </w:r>
    </w:p>
    <w:tbl>
      <w:tblPr>
        <w:tblStyle w:val="TableGrid"/>
        <w:tblW w:type="dxa" w:w="9360"/>
        <w:tblLayout w:type="fixed"/>
        <w:tblLook w:firstColumn="1" w:firstRow="1" w:lastColumn="0" w:lastRow="0" w:noHBand="0" w:noVBand="1" w:val="04A0"/>
        <w:tblInd w:w="120" w:type="dxa"/>
      </w:tblPr>
      <w:tblGrid>
        <w:gridCol w:w="1800"/>
        <w:gridCol w:w="1100"/>
        <w:gridCol w:w="1100"/>
        <w:gridCol w:w="1900"/>
        <w:gridCol w:w="1300"/>
        <w:gridCol w:w="2160"/>
      </w:tblGrid>
      <w:tr>
        <w:trPr>
          <w:tblHeader w:val="true"/>
          <w:cantSplit/>
        </w:trPr>
        <w:tc>
          <w:tcPr>
            <w:tcW w:type="dxa" w:w="1800"/>
            <w:shd w:fill="F2F4F7"/>
            <w:vAlign w:val="center"/>
            <w:tcMar>
              <w:top w:w="80" w:type="dxa"/>
              <w:start w:w="120" w:type="dxa"/>
              <w:bottom w:w="80" w:type="dxa"/>
              <w:end w:w="120" w:type="dxa"/>
            </w:tcMar>
          </w:tcPr>
          <w:p>
            <w:pPr>
              <w:spacing w:after="40"/>
            </w:pPr>
            <w:r>
              <w:rPr>
                <w:b/>
                <w:sz w:val="17"/>
              </w:rPr>
              <w:t>Partition</w:t>
            </w:r>
          </w:p>
        </w:tc>
        <w:tc>
          <w:tcPr>
            <w:tcW w:type="dxa" w:w="1100"/>
            <w:shd w:fill="F2F4F7"/>
            <w:vAlign w:val="center"/>
            <w:tcMar>
              <w:top w:w="80" w:type="dxa"/>
              <w:start w:w="120" w:type="dxa"/>
              <w:bottom w:w="80" w:type="dxa"/>
              <w:end w:w="120" w:type="dxa"/>
            </w:tcMar>
          </w:tcPr>
          <w:p>
            <w:pPr>
              <w:spacing w:after="40"/>
              <w:jc w:val="center"/>
            </w:pPr>
            <w:r>
              <w:rPr>
                <w:b/>
                <w:sz w:val="17"/>
              </w:rPr>
              <w:t>Tokens</w:t>
            </w:r>
          </w:p>
        </w:tc>
        <w:tc>
          <w:tcPr>
            <w:tcW w:type="dxa" w:w="1100"/>
            <w:shd w:fill="F2F4F7"/>
            <w:vAlign w:val="center"/>
            <w:tcMar>
              <w:top w:w="80" w:type="dxa"/>
              <w:start w:w="120" w:type="dxa"/>
              <w:bottom w:w="80" w:type="dxa"/>
              <w:end w:w="120" w:type="dxa"/>
            </w:tcMar>
          </w:tcPr>
          <w:p>
            <w:pPr>
              <w:spacing w:after="40"/>
              <w:jc w:val="center"/>
            </w:pPr>
            <w:r>
              <w:rPr>
                <w:b/>
                <w:sz w:val="17"/>
              </w:rPr>
              <w:t>Share</w:t>
            </w:r>
          </w:p>
        </w:tc>
        <w:tc>
          <w:tcPr>
            <w:tcW w:type="dxa" w:w="1900"/>
            <w:shd w:fill="F2F4F7"/>
            <w:vAlign w:val="center"/>
            <w:tcMar>
              <w:top w:w="80" w:type="dxa"/>
              <w:start w:w="120" w:type="dxa"/>
              <w:bottom w:w="80" w:type="dxa"/>
              <w:end w:w="120" w:type="dxa"/>
            </w:tcMar>
          </w:tcPr>
          <w:p>
            <w:pPr>
              <w:spacing w:after="40"/>
              <w:jc w:val="center"/>
            </w:pPr>
            <w:r>
              <w:rPr>
                <w:b/>
                <w:sz w:val="17"/>
              </w:rPr>
              <w:t>Raw bits/token</w:t>
            </w:r>
          </w:p>
        </w:tc>
        <w:tc>
          <w:tcPr>
            <w:tcW w:type="dxa" w:w="1300"/>
            <w:shd w:fill="F2F4F7"/>
            <w:vAlign w:val="center"/>
            <w:tcMar>
              <w:top w:w="80" w:type="dxa"/>
              <w:start w:w="120" w:type="dxa"/>
              <w:bottom w:w="80" w:type="dxa"/>
              <w:end w:w="120" w:type="dxa"/>
            </w:tcMar>
          </w:tcPr>
          <w:p>
            <w:pPr>
              <w:spacing w:after="40"/>
              <w:jc w:val="center"/>
            </w:pPr>
            <w:r>
              <w:rPr>
                <w:b/>
                <w:sz w:val="17"/>
              </w:rPr>
              <w:t>p</w:t>
            </w:r>
          </w:p>
        </w:tc>
        <w:tc>
          <w:tcPr>
            <w:tcW w:type="dxa" w:w="2160"/>
            <w:shd w:fill="F2F4F7"/>
            <w:vAlign w:val="center"/>
            <w:tcMar>
              <w:top w:w="80" w:type="dxa"/>
              <w:start w:w="120" w:type="dxa"/>
              <w:bottom w:w="80" w:type="dxa"/>
              <w:end w:w="120" w:type="dxa"/>
            </w:tcMar>
          </w:tcPr>
          <w:p>
            <w:pPr>
              <w:spacing w:after="40"/>
              <w:jc w:val="center"/>
            </w:pPr>
            <w:r>
              <w:rPr>
                <w:b/>
                <w:sz w:val="17"/>
              </w:rPr>
              <w:t>Finding</w:t>
            </w:r>
          </w:p>
        </w:tc>
      </w:tr>
      <w:tr>
        <w:trPr>
          <w:cantSplit/>
        </w:trPr>
        <w:tc>
          <w:tcPr>
            <w:tcW w:type="dxa" w:w="1800"/>
            <w:vAlign w:val="center"/>
            <w:tcMar>
              <w:top w:w="80" w:type="dxa"/>
              <w:start w:w="120" w:type="dxa"/>
              <w:bottom w:w="80" w:type="dxa"/>
              <w:end w:w="120" w:type="dxa"/>
            </w:tcMar>
          </w:tcPr>
          <w:p>
            <w:pPr>
              <w:spacing w:after="40"/>
            </w:pPr>
            <w:r>
              <w:rPr>
                <w:b w:val="0"/>
                <w:sz w:val="17"/>
              </w:rPr>
              <w:t>All</w:t>
            </w:r>
          </w:p>
        </w:tc>
        <w:tc>
          <w:tcPr>
            <w:tcW w:type="dxa" w:w="1100"/>
            <w:vAlign w:val="center"/>
            <w:tcMar>
              <w:top w:w="80" w:type="dxa"/>
              <w:start w:w="120" w:type="dxa"/>
              <w:bottom w:w="80" w:type="dxa"/>
              <w:end w:w="120" w:type="dxa"/>
            </w:tcMar>
          </w:tcPr>
          <w:p>
            <w:pPr>
              <w:spacing w:after="40"/>
              <w:jc w:val="center"/>
            </w:pPr>
            <w:r>
              <w:rPr>
                <w:b w:val="0"/>
                <w:sz w:val="17"/>
              </w:rPr>
              <w:t>4227</w:t>
            </w:r>
          </w:p>
        </w:tc>
        <w:tc>
          <w:tcPr>
            <w:tcW w:type="dxa" w:w="1100"/>
            <w:vAlign w:val="center"/>
            <w:tcMar>
              <w:top w:w="80" w:type="dxa"/>
              <w:start w:w="120" w:type="dxa"/>
              <w:bottom w:w="80" w:type="dxa"/>
              <w:end w:w="120" w:type="dxa"/>
            </w:tcMar>
          </w:tcPr>
          <w:p>
            <w:pPr>
              <w:spacing w:after="40"/>
              <w:jc w:val="center"/>
            </w:pPr>
            <w:r>
              <w:rPr>
                <w:b w:val="0"/>
                <w:sz w:val="17"/>
              </w:rPr>
              <w:t>100.0%</w:t>
            </w:r>
          </w:p>
        </w:tc>
        <w:tc>
          <w:tcPr>
            <w:tcW w:type="dxa" w:w="1900"/>
            <w:vAlign w:val="center"/>
            <w:tcMar>
              <w:top w:w="80" w:type="dxa"/>
              <w:start w:w="120" w:type="dxa"/>
              <w:bottom w:w="80" w:type="dxa"/>
              <w:end w:w="120" w:type="dxa"/>
            </w:tcMar>
          </w:tcPr>
          <w:p>
            <w:pPr>
              <w:spacing w:after="40"/>
              <w:jc w:val="center"/>
            </w:pPr>
            <w:r>
              <w:rPr>
                <w:b w:val="0"/>
                <w:sz w:val="17"/>
              </w:rPr>
              <w:t>+0.006522</w:t>
            </w:r>
          </w:p>
        </w:tc>
        <w:tc>
          <w:tcPr>
            <w:tcW w:type="dxa" w:w="1300"/>
            <w:vAlign w:val="center"/>
            <w:tcMar>
              <w:top w:w="80" w:type="dxa"/>
              <w:start w:w="120" w:type="dxa"/>
              <w:bottom w:w="80" w:type="dxa"/>
              <w:end w:w="120" w:type="dxa"/>
            </w:tcMar>
          </w:tcPr>
          <w:p>
            <w:pPr>
              <w:spacing w:after="40"/>
              <w:jc w:val="center"/>
            </w:pPr>
            <w:r>
              <w:rPr>
                <w:b w:val="0"/>
                <w:sz w:val="17"/>
              </w:rPr>
              <w:t>0.00498</w:t>
            </w:r>
          </w:p>
        </w:tc>
        <w:tc>
          <w:tcPr>
            <w:tcW w:type="dxa" w:w="2160"/>
            <w:vAlign w:val="center"/>
            <w:tcMar>
              <w:top w:w="80" w:type="dxa"/>
              <w:start w:w="120" w:type="dxa"/>
              <w:bottom w:w="80" w:type="dxa"/>
              <w:end w:w="120" w:type="dxa"/>
            </w:tcMar>
          </w:tcPr>
          <w:p>
            <w:pPr>
              <w:spacing w:after="40"/>
              <w:jc w:val="center"/>
            </w:pPr>
            <w:r>
              <w:rPr>
                <w:b w:val="0"/>
                <w:sz w:val="17"/>
              </w:rPr>
              <w:t>Replicates</w:t>
            </w:r>
          </w:p>
        </w:tc>
      </w:tr>
      <w:tr>
        <w:trPr>
          <w:cantSplit/>
        </w:trPr>
        <w:tc>
          <w:tcPr>
            <w:tcW w:type="dxa" w:w="1800"/>
            <w:vAlign w:val="center"/>
            <w:tcMar>
              <w:top w:w="80" w:type="dxa"/>
              <w:start w:w="120" w:type="dxa"/>
              <w:bottom w:w="80" w:type="dxa"/>
              <w:end w:w="120" w:type="dxa"/>
            </w:tcMar>
          </w:tcPr>
          <w:p>
            <w:pPr>
              <w:spacing w:after="40"/>
            </w:pPr>
            <w:r>
              <w:rPr>
                <w:b w:val="0"/>
                <w:sz w:val="17"/>
              </w:rPr>
              <w:t>Exact agreement</w:t>
            </w:r>
          </w:p>
        </w:tc>
        <w:tc>
          <w:tcPr>
            <w:tcW w:type="dxa" w:w="1100"/>
            <w:vAlign w:val="center"/>
            <w:tcMar>
              <w:top w:w="80" w:type="dxa"/>
              <w:start w:w="120" w:type="dxa"/>
              <w:bottom w:w="80" w:type="dxa"/>
              <w:end w:w="120" w:type="dxa"/>
            </w:tcMar>
          </w:tcPr>
          <w:p>
            <w:pPr>
              <w:spacing w:after="40"/>
              <w:jc w:val="center"/>
            </w:pPr>
            <w:r>
              <w:rPr>
                <w:b w:val="0"/>
                <w:sz w:val="17"/>
              </w:rPr>
              <w:t>3631</w:t>
            </w:r>
          </w:p>
        </w:tc>
        <w:tc>
          <w:tcPr>
            <w:tcW w:type="dxa" w:w="1100"/>
            <w:vAlign w:val="center"/>
            <w:tcMar>
              <w:top w:w="80" w:type="dxa"/>
              <w:start w:w="120" w:type="dxa"/>
              <w:bottom w:w="80" w:type="dxa"/>
              <w:end w:w="120" w:type="dxa"/>
            </w:tcMar>
          </w:tcPr>
          <w:p>
            <w:pPr>
              <w:spacing w:after="40"/>
              <w:jc w:val="center"/>
            </w:pPr>
            <w:r>
              <w:rPr>
                <w:b w:val="0"/>
                <w:sz w:val="17"/>
              </w:rPr>
              <w:t>85.9%</w:t>
            </w:r>
          </w:p>
        </w:tc>
        <w:tc>
          <w:tcPr>
            <w:tcW w:type="dxa" w:w="1900"/>
            <w:vAlign w:val="center"/>
            <w:tcMar>
              <w:top w:w="80" w:type="dxa"/>
              <w:start w:w="120" w:type="dxa"/>
              <w:bottom w:w="80" w:type="dxa"/>
              <w:end w:w="120" w:type="dxa"/>
            </w:tcMar>
          </w:tcPr>
          <w:p>
            <w:pPr>
              <w:spacing w:after="40"/>
              <w:jc w:val="center"/>
            </w:pPr>
            <w:r>
              <w:rPr>
                <w:b w:val="0"/>
                <w:sz w:val="17"/>
              </w:rPr>
              <w:t>+0.004403</w:t>
            </w:r>
          </w:p>
        </w:tc>
        <w:tc>
          <w:tcPr>
            <w:tcW w:type="dxa" w:w="1300"/>
            <w:vAlign w:val="center"/>
            <w:tcMar>
              <w:top w:w="80" w:type="dxa"/>
              <w:start w:w="120" w:type="dxa"/>
              <w:bottom w:w="80" w:type="dxa"/>
              <w:end w:w="120" w:type="dxa"/>
            </w:tcMar>
          </w:tcPr>
          <w:p>
            <w:pPr>
              <w:spacing w:after="40"/>
              <w:jc w:val="center"/>
            </w:pPr>
            <w:r>
              <w:rPr>
                <w:b w:val="0"/>
                <w:sz w:val="17"/>
              </w:rPr>
              <w:t>0.00498</w:t>
            </w:r>
          </w:p>
        </w:tc>
        <w:tc>
          <w:tcPr>
            <w:tcW w:type="dxa" w:w="2160"/>
            <w:vAlign w:val="center"/>
            <w:tcMar>
              <w:top w:w="80" w:type="dxa"/>
              <w:start w:w="120" w:type="dxa"/>
              <w:bottom w:w="80" w:type="dxa"/>
              <w:end w:w="120" w:type="dxa"/>
            </w:tcMar>
          </w:tcPr>
          <w:p>
            <w:pPr>
              <w:spacing w:after="40"/>
              <w:jc w:val="center"/>
            </w:pPr>
            <w:r>
              <w:rPr>
                <w:b w:val="0"/>
                <w:sz w:val="17"/>
              </w:rPr>
              <w:t>Stable positive signal</w:t>
            </w:r>
          </w:p>
        </w:tc>
      </w:tr>
      <w:tr>
        <w:trPr>
          <w:cantSplit/>
        </w:trPr>
        <w:tc>
          <w:tcPr>
            <w:tcW w:type="dxa" w:w="1800"/>
            <w:vAlign w:val="center"/>
            <w:tcMar>
              <w:top w:w="80" w:type="dxa"/>
              <w:start w:w="120" w:type="dxa"/>
              <w:bottom w:w="80" w:type="dxa"/>
              <w:end w:w="120" w:type="dxa"/>
            </w:tcMar>
          </w:tcPr>
          <w:p>
            <w:pPr>
              <w:spacing w:after="40"/>
            </w:pPr>
            <w:r>
              <w:rPr>
                <w:b w:val="0"/>
                <w:sz w:val="17"/>
              </w:rPr>
              <w:t>Disputed</w:t>
            </w:r>
          </w:p>
        </w:tc>
        <w:tc>
          <w:tcPr>
            <w:tcW w:type="dxa" w:w="1100"/>
            <w:vAlign w:val="center"/>
            <w:tcMar>
              <w:top w:w="80" w:type="dxa"/>
              <w:start w:w="120" w:type="dxa"/>
              <w:bottom w:w="80" w:type="dxa"/>
              <w:end w:w="120" w:type="dxa"/>
            </w:tcMar>
          </w:tcPr>
          <w:p>
            <w:pPr>
              <w:spacing w:after="40"/>
              <w:jc w:val="center"/>
            </w:pPr>
            <w:r>
              <w:rPr>
                <w:b w:val="0"/>
                <w:sz w:val="17"/>
              </w:rPr>
              <w:t>596</w:t>
            </w:r>
          </w:p>
        </w:tc>
        <w:tc>
          <w:tcPr>
            <w:tcW w:type="dxa" w:w="1100"/>
            <w:vAlign w:val="center"/>
            <w:tcMar>
              <w:top w:w="80" w:type="dxa"/>
              <w:start w:w="120" w:type="dxa"/>
              <w:bottom w:w="80" w:type="dxa"/>
              <w:end w:w="120" w:type="dxa"/>
            </w:tcMar>
          </w:tcPr>
          <w:p>
            <w:pPr>
              <w:spacing w:after="40"/>
              <w:jc w:val="center"/>
            </w:pPr>
            <w:r>
              <w:rPr>
                <w:b w:val="0"/>
                <w:sz w:val="17"/>
              </w:rPr>
              <w:t>14.1%</w:t>
            </w:r>
          </w:p>
        </w:tc>
        <w:tc>
          <w:tcPr>
            <w:tcW w:type="dxa" w:w="1900"/>
            <w:vAlign w:val="center"/>
            <w:tcMar>
              <w:top w:w="80" w:type="dxa"/>
              <w:start w:w="120" w:type="dxa"/>
              <w:bottom w:w="80" w:type="dxa"/>
              <w:end w:w="120" w:type="dxa"/>
            </w:tcMar>
          </w:tcPr>
          <w:p>
            <w:pPr>
              <w:spacing w:after="40"/>
              <w:jc w:val="center"/>
            </w:pPr>
            <w:r>
              <w:rPr>
                <w:b w:val="0"/>
                <w:sz w:val="17"/>
              </w:rPr>
              <w:t>+0.019426</w:t>
            </w:r>
          </w:p>
        </w:tc>
        <w:tc>
          <w:tcPr>
            <w:tcW w:type="dxa" w:w="1300"/>
            <w:vAlign w:val="center"/>
            <w:tcMar>
              <w:top w:w="80" w:type="dxa"/>
              <w:start w:w="120" w:type="dxa"/>
              <w:bottom w:w="80" w:type="dxa"/>
              <w:end w:w="120" w:type="dxa"/>
            </w:tcMar>
          </w:tcPr>
          <w:p>
            <w:pPr>
              <w:spacing w:after="40"/>
              <w:jc w:val="center"/>
            </w:pPr>
            <w:r>
              <w:rPr>
                <w:b w:val="0"/>
                <w:sz w:val="17"/>
              </w:rPr>
              <w:t>0.00498</w:t>
            </w:r>
          </w:p>
        </w:tc>
        <w:tc>
          <w:tcPr>
            <w:tcW w:type="dxa" w:w="2160"/>
            <w:vAlign w:val="center"/>
            <w:tcMar>
              <w:top w:w="80" w:type="dxa"/>
              <w:start w:w="120" w:type="dxa"/>
              <w:bottom w:w="80" w:type="dxa"/>
              <w:end w:w="120" w:type="dxa"/>
            </w:tcMar>
          </w:tcPr>
          <w:p>
            <w:pPr>
              <w:spacing w:after="40"/>
              <w:jc w:val="center"/>
            </w:pPr>
            <w:r>
              <w:rPr>
                <w:b w:val="0"/>
                <w:sz w:val="17"/>
              </w:rPr>
              <w:t>Disproportionately strong</w:t>
            </w:r>
          </w:p>
        </w:tc>
      </w:tr>
    </w:tbl>
    <w:p>
      <w:pPr>
        <w:spacing w:after="0"/>
      </w:pPr>
    </w:p>
    <w:p>
      <w:r>
        <w:t>Agreement tokens make up 85.9% of eligible material but carry only 58.0% of total positive gain. The disputed 14.1% carry the remaining 42.0%. This violates the preregistered requirement that agreement carry at least its proportional share of evidence.</w:t>
      </w:r>
    </w:p>
    <w:p>
      <w:pPr>
        <w:pStyle w:val="Heading1"/>
      </w:pPr>
      <w:r>
        <w:t>What this establishes</w:t>
      </w:r>
    </w:p>
    <w:p>
      <w:r>
        <w:t>The signal does not vanish when transcription disagreements are removed. Exact agreement alone remains positive in 4/5 page folds and beats its matched nulls at p = 0.00498. That is direct evidence that a genuine shared-text component exists.</w:t>
      </w:r>
    </w:p>
    <w:p>
      <w:r>
        <w:t>However, the effect is more than four times larger per token in the disputed partition (+0.019426 versus +0.004403 bits/token). The clean external replication from v8.22 therefore cannot yet be treated as fully independent of transcription and tokenization choices.</w:t>
      </w:r>
    </w:p>
    <w:p>
      <w:pPr>
        <w:pStyle w:val="Heading1"/>
        <w:pageBreakBefore/>
      </w:pPr>
      <w:r>
        <w:t>Fold diagnostics</w:t>
      </w:r>
    </w:p>
    <w:tbl>
      <w:tblPr>
        <w:tblStyle w:val="TableGrid"/>
        <w:tblW w:type="dxa" w:w="9360"/>
        <w:tblLayout w:type="fixed"/>
        <w:tblLook w:firstColumn="1" w:firstRow="1" w:lastColumn="0" w:lastRow="0" w:noHBand="0" w:noVBand="1" w:val="04A0"/>
        <w:tblInd w:w="120" w:type="dxa"/>
      </w:tblPr>
      <w:tblGrid>
        <w:gridCol w:w="1000"/>
        <w:gridCol w:w="1500"/>
        <w:gridCol w:w="2300"/>
        <w:gridCol w:w="1700"/>
        <w:gridCol w:w="2860"/>
      </w:tblGrid>
      <w:tr>
        <w:trPr>
          <w:tblHeader w:val="true"/>
          <w:cantSplit/>
        </w:trPr>
        <w:tc>
          <w:tcPr>
            <w:tcW w:type="dxa" w:w="1000"/>
            <w:shd w:fill="F2F4F7"/>
            <w:vAlign w:val="center"/>
            <w:tcMar>
              <w:top w:w="80" w:type="dxa"/>
              <w:start w:w="120" w:type="dxa"/>
              <w:bottom w:w="80" w:type="dxa"/>
              <w:end w:w="120" w:type="dxa"/>
            </w:tcMar>
          </w:tcPr>
          <w:p>
            <w:pPr>
              <w:spacing w:after="40"/>
            </w:pPr>
            <w:r>
              <w:rPr>
                <w:b/>
                <w:sz w:val="18"/>
              </w:rPr>
              <w:t>Fold</w:t>
            </w:r>
          </w:p>
        </w:tc>
        <w:tc>
          <w:tcPr>
            <w:tcW w:type="dxa" w:w="1500"/>
            <w:shd w:fill="F2F4F7"/>
            <w:vAlign w:val="center"/>
            <w:tcMar>
              <w:top w:w="80" w:type="dxa"/>
              <w:start w:w="120" w:type="dxa"/>
              <w:bottom w:w="80" w:type="dxa"/>
              <w:end w:w="120" w:type="dxa"/>
            </w:tcMar>
          </w:tcPr>
          <w:p>
            <w:pPr>
              <w:spacing w:after="40"/>
              <w:jc w:val="center"/>
            </w:pPr>
            <w:r>
              <w:rPr>
                <w:b/>
                <w:sz w:val="18"/>
              </w:rPr>
              <w:t>Agree n</w:t>
            </w:r>
          </w:p>
        </w:tc>
        <w:tc>
          <w:tcPr>
            <w:tcW w:type="dxa" w:w="2300"/>
            <w:shd w:fill="F2F4F7"/>
            <w:vAlign w:val="center"/>
            <w:tcMar>
              <w:top w:w="80" w:type="dxa"/>
              <w:start w:w="120" w:type="dxa"/>
              <w:bottom w:w="80" w:type="dxa"/>
              <w:end w:w="120" w:type="dxa"/>
            </w:tcMar>
          </w:tcPr>
          <w:p>
            <w:pPr>
              <w:spacing w:after="40"/>
              <w:jc w:val="center"/>
            </w:pPr>
            <w:r>
              <w:rPr>
                <w:b/>
                <w:sz w:val="18"/>
              </w:rPr>
              <w:t>Agree gain</w:t>
            </w:r>
          </w:p>
        </w:tc>
        <w:tc>
          <w:tcPr>
            <w:tcW w:type="dxa" w:w="1700"/>
            <w:shd w:fill="F2F4F7"/>
            <w:vAlign w:val="center"/>
            <w:tcMar>
              <w:top w:w="80" w:type="dxa"/>
              <w:start w:w="120" w:type="dxa"/>
              <w:bottom w:w="80" w:type="dxa"/>
              <w:end w:w="120" w:type="dxa"/>
            </w:tcMar>
          </w:tcPr>
          <w:p>
            <w:pPr>
              <w:spacing w:after="40"/>
              <w:jc w:val="center"/>
            </w:pPr>
            <w:r>
              <w:rPr>
                <w:b/>
                <w:sz w:val="18"/>
              </w:rPr>
              <w:t>Disputed n</w:t>
            </w:r>
          </w:p>
        </w:tc>
        <w:tc>
          <w:tcPr>
            <w:tcW w:type="dxa" w:w="2860"/>
            <w:shd w:fill="F2F4F7"/>
            <w:vAlign w:val="center"/>
            <w:tcMar>
              <w:top w:w="80" w:type="dxa"/>
              <w:start w:w="120" w:type="dxa"/>
              <w:bottom w:w="80" w:type="dxa"/>
              <w:end w:w="120" w:type="dxa"/>
            </w:tcMar>
          </w:tcPr>
          <w:p>
            <w:pPr>
              <w:spacing w:after="40"/>
              <w:jc w:val="center"/>
            </w:pPr>
            <w:r>
              <w:rPr>
                <w:b/>
                <w:sz w:val="18"/>
              </w:rPr>
              <w:t>Disputed gain</w:t>
            </w:r>
          </w:p>
        </w:tc>
      </w:tr>
      <w:tr>
        <w:trPr>
          <w:cantSplit/>
        </w:trPr>
        <w:tc>
          <w:tcPr>
            <w:tcW w:type="dxa" w:w="1000"/>
            <w:vAlign w:val="center"/>
            <w:tcMar>
              <w:top w:w="80" w:type="dxa"/>
              <w:start w:w="120" w:type="dxa"/>
              <w:bottom w:w="80" w:type="dxa"/>
              <w:end w:w="120" w:type="dxa"/>
            </w:tcMar>
          </w:tcPr>
          <w:p>
            <w:pPr>
              <w:spacing w:after="40"/>
            </w:pPr>
            <w:r>
              <w:rPr>
                <w:b w:val="0"/>
                <w:sz w:val="18"/>
              </w:rPr>
              <w:t>1</w:t>
            </w:r>
          </w:p>
        </w:tc>
        <w:tc>
          <w:tcPr>
            <w:tcW w:type="dxa" w:w="1500"/>
            <w:vAlign w:val="center"/>
            <w:tcMar>
              <w:top w:w="80" w:type="dxa"/>
              <w:start w:w="120" w:type="dxa"/>
              <w:bottom w:w="80" w:type="dxa"/>
              <w:end w:w="120" w:type="dxa"/>
            </w:tcMar>
          </w:tcPr>
          <w:p>
            <w:pPr>
              <w:spacing w:after="40"/>
              <w:jc w:val="center"/>
            </w:pPr>
            <w:r>
              <w:rPr>
                <w:b w:val="0"/>
                <w:sz w:val="18"/>
              </w:rPr>
              <w:t>646</w:t>
            </w:r>
          </w:p>
        </w:tc>
        <w:tc>
          <w:tcPr>
            <w:tcW w:type="dxa" w:w="2300"/>
            <w:vAlign w:val="center"/>
            <w:tcMar>
              <w:top w:w="80" w:type="dxa"/>
              <w:start w:w="120" w:type="dxa"/>
              <w:bottom w:w="80" w:type="dxa"/>
              <w:end w:w="120" w:type="dxa"/>
            </w:tcMar>
          </w:tcPr>
          <w:p>
            <w:pPr>
              <w:spacing w:after="40"/>
              <w:jc w:val="center"/>
            </w:pPr>
            <w:r>
              <w:rPr>
                <w:b w:val="0"/>
                <w:sz w:val="18"/>
              </w:rPr>
              <w:t>+0.006184</w:t>
            </w:r>
          </w:p>
        </w:tc>
        <w:tc>
          <w:tcPr>
            <w:tcW w:type="dxa" w:w="1700"/>
            <w:vAlign w:val="center"/>
            <w:tcMar>
              <w:top w:w="80" w:type="dxa"/>
              <w:start w:w="120" w:type="dxa"/>
              <w:bottom w:w="80" w:type="dxa"/>
              <w:end w:w="120" w:type="dxa"/>
            </w:tcMar>
          </w:tcPr>
          <w:p>
            <w:pPr>
              <w:spacing w:after="40"/>
              <w:jc w:val="center"/>
            </w:pPr>
            <w:r>
              <w:rPr>
                <w:b w:val="0"/>
                <w:sz w:val="18"/>
              </w:rPr>
              <w:t>102</w:t>
            </w:r>
          </w:p>
        </w:tc>
        <w:tc>
          <w:tcPr>
            <w:tcW w:type="dxa" w:w="2860"/>
            <w:vAlign w:val="center"/>
            <w:tcMar>
              <w:top w:w="80" w:type="dxa"/>
              <w:start w:w="120" w:type="dxa"/>
              <w:bottom w:w="80" w:type="dxa"/>
              <w:end w:w="120" w:type="dxa"/>
            </w:tcMar>
          </w:tcPr>
          <w:p>
            <w:pPr>
              <w:spacing w:after="40"/>
              <w:jc w:val="center"/>
            </w:pPr>
            <w:r>
              <w:rPr>
                <w:b w:val="0"/>
                <w:sz w:val="18"/>
              </w:rPr>
              <w:t>+0.011026</w:t>
            </w:r>
          </w:p>
        </w:tc>
      </w:tr>
      <w:tr>
        <w:trPr>
          <w:cantSplit/>
        </w:trPr>
        <w:tc>
          <w:tcPr>
            <w:tcW w:type="dxa" w:w="1000"/>
            <w:vAlign w:val="center"/>
            <w:tcMar>
              <w:top w:w="80" w:type="dxa"/>
              <w:start w:w="120" w:type="dxa"/>
              <w:bottom w:w="80" w:type="dxa"/>
              <w:end w:w="120" w:type="dxa"/>
            </w:tcMar>
          </w:tcPr>
          <w:p>
            <w:pPr>
              <w:spacing w:after="40"/>
            </w:pPr>
            <w:r>
              <w:rPr>
                <w:b w:val="0"/>
                <w:sz w:val="18"/>
              </w:rPr>
              <w:t>2</w:t>
            </w:r>
          </w:p>
        </w:tc>
        <w:tc>
          <w:tcPr>
            <w:tcW w:type="dxa" w:w="1500"/>
            <w:vAlign w:val="center"/>
            <w:tcMar>
              <w:top w:w="80" w:type="dxa"/>
              <w:start w:w="120" w:type="dxa"/>
              <w:bottom w:w="80" w:type="dxa"/>
              <w:end w:w="120" w:type="dxa"/>
            </w:tcMar>
          </w:tcPr>
          <w:p>
            <w:pPr>
              <w:spacing w:after="40"/>
              <w:jc w:val="center"/>
            </w:pPr>
            <w:r>
              <w:rPr>
                <w:b w:val="0"/>
                <w:sz w:val="18"/>
              </w:rPr>
              <w:t>683</w:t>
            </w:r>
          </w:p>
        </w:tc>
        <w:tc>
          <w:tcPr>
            <w:tcW w:type="dxa" w:w="2300"/>
            <w:vAlign w:val="center"/>
            <w:tcMar>
              <w:top w:w="80" w:type="dxa"/>
              <w:start w:w="120" w:type="dxa"/>
              <w:bottom w:w="80" w:type="dxa"/>
              <w:end w:w="120" w:type="dxa"/>
            </w:tcMar>
          </w:tcPr>
          <w:p>
            <w:pPr>
              <w:spacing w:after="40"/>
              <w:jc w:val="center"/>
            </w:pPr>
            <w:r>
              <w:rPr>
                <w:b w:val="0"/>
                <w:sz w:val="18"/>
              </w:rPr>
              <w:t>+0.013296</w:t>
            </w:r>
          </w:p>
        </w:tc>
        <w:tc>
          <w:tcPr>
            <w:tcW w:type="dxa" w:w="1700"/>
            <w:vAlign w:val="center"/>
            <w:tcMar>
              <w:top w:w="80" w:type="dxa"/>
              <w:start w:w="120" w:type="dxa"/>
              <w:bottom w:w="80" w:type="dxa"/>
              <w:end w:w="120" w:type="dxa"/>
            </w:tcMar>
          </w:tcPr>
          <w:p>
            <w:pPr>
              <w:spacing w:after="40"/>
              <w:jc w:val="center"/>
            </w:pPr>
            <w:r>
              <w:rPr>
                <w:b w:val="0"/>
                <w:sz w:val="18"/>
              </w:rPr>
              <w:t>94</w:t>
            </w:r>
          </w:p>
        </w:tc>
        <w:tc>
          <w:tcPr>
            <w:tcW w:type="dxa" w:w="2860"/>
            <w:vAlign w:val="center"/>
            <w:tcMar>
              <w:top w:w="80" w:type="dxa"/>
              <w:start w:w="120" w:type="dxa"/>
              <w:bottom w:w="80" w:type="dxa"/>
              <w:end w:w="120" w:type="dxa"/>
            </w:tcMar>
          </w:tcPr>
          <w:p>
            <w:pPr>
              <w:spacing w:after="40"/>
              <w:jc w:val="center"/>
            </w:pPr>
            <w:r>
              <w:rPr>
                <w:b w:val="0"/>
                <w:sz w:val="18"/>
              </w:rPr>
              <w:t>-0.001804</w:t>
            </w:r>
          </w:p>
        </w:tc>
      </w:tr>
      <w:tr>
        <w:trPr>
          <w:cantSplit/>
        </w:trPr>
        <w:tc>
          <w:tcPr>
            <w:tcW w:type="dxa" w:w="1000"/>
            <w:vAlign w:val="center"/>
            <w:tcMar>
              <w:top w:w="80" w:type="dxa"/>
              <w:start w:w="120" w:type="dxa"/>
              <w:bottom w:w="80" w:type="dxa"/>
              <w:end w:w="120" w:type="dxa"/>
            </w:tcMar>
          </w:tcPr>
          <w:p>
            <w:pPr>
              <w:spacing w:after="40"/>
            </w:pPr>
            <w:r>
              <w:rPr>
                <w:b w:val="0"/>
                <w:sz w:val="18"/>
              </w:rPr>
              <w:t>3</w:t>
            </w:r>
          </w:p>
        </w:tc>
        <w:tc>
          <w:tcPr>
            <w:tcW w:type="dxa" w:w="1500"/>
            <w:vAlign w:val="center"/>
            <w:tcMar>
              <w:top w:w="80" w:type="dxa"/>
              <w:start w:w="120" w:type="dxa"/>
              <w:bottom w:w="80" w:type="dxa"/>
              <w:end w:w="120" w:type="dxa"/>
            </w:tcMar>
          </w:tcPr>
          <w:p>
            <w:pPr>
              <w:spacing w:after="40"/>
              <w:jc w:val="center"/>
            </w:pPr>
            <w:r>
              <w:rPr>
                <w:b w:val="0"/>
                <w:sz w:val="18"/>
              </w:rPr>
              <w:t>737</w:t>
            </w:r>
          </w:p>
        </w:tc>
        <w:tc>
          <w:tcPr>
            <w:tcW w:type="dxa" w:w="2300"/>
            <w:vAlign w:val="center"/>
            <w:tcMar>
              <w:top w:w="80" w:type="dxa"/>
              <w:start w:w="120" w:type="dxa"/>
              <w:bottom w:w="80" w:type="dxa"/>
              <w:end w:w="120" w:type="dxa"/>
            </w:tcMar>
          </w:tcPr>
          <w:p>
            <w:pPr>
              <w:spacing w:after="40"/>
              <w:jc w:val="center"/>
            </w:pPr>
            <w:r>
              <w:rPr>
                <w:b w:val="0"/>
                <w:sz w:val="18"/>
              </w:rPr>
              <w:t>+0.007102</w:t>
            </w:r>
          </w:p>
        </w:tc>
        <w:tc>
          <w:tcPr>
            <w:tcW w:type="dxa" w:w="1700"/>
            <w:vAlign w:val="center"/>
            <w:tcMar>
              <w:top w:w="80" w:type="dxa"/>
              <w:start w:w="120" w:type="dxa"/>
              <w:bottom w:w="80" w:type="dxa"/>
              <w:end w:w="120" w:type="dxa"/>
            </w:tcMar>
          </w:tcPr>
          <w:p>
            <w:pPr>
              <w:spacing w:after="40"/>
              <w:jc w:val="center"/>
            </w:pPr>
            <w:r>
              <w:rPr>
                <w:b w:val="0"/>
                <w:sz w:val="18"/>
              </w:rPr>
              <w:t>129</w:t>
            </w:r>
          </w:p>
        </w:tc>
        <w:tc>
          <w:tcPr>
            <w:tcW w:type="dxa" w:w="2860"/>
            <w:vAlign w:val="center"/>
            <w:tcMar>
              <w:top w:w="80" w:type="dxa"/>
              <w:start w:w="120" w:type="dxa"/>
              <w:bottom w:w="80" w:type="dxa"/>
              <w:end w:w="120" w:type="dxa"/>
            </w:tcMar>
          </w:tcPr>
          <w:p>
            <w:pPr>
              <w:spacing w:after="40"/>
              <w:jc w:val="center"/>
            </w:pPr>
            <w:r>
              <w:rPr>
                <w:b w:val="0"/>
                <w:sz w:val="18"/>
              </w:rPr>
              <w:t>+0.013847</w:t>
            </w:r>
          </w:p>
        </w:tc>
      </w:tr>
      <w:tr>
        <w:trPr>
          <w:cantSplit/>
        </w:trPr>
        <w:tc>
          <w:tcPr>
            <w:tcW w:type="dxa" w:w="1000"/>
            <w:vAlign w:val="center"/>
            <w:tcMar>
              <w:top w:w="80" w:type="dxa"/>
              <w:start w:w="120" w:type="dxa"/>
              <w:bottom w:w="80" w:type="dxa"/>
              <w:end w:w="120" w:type="dxa"/>
            </w:tcMar>
          </w:tcPr>
          <w:p>
            <w:pPr>
              <w:spacing w:after="40"/>
            </w:pPr>
            <w:r>
              <w:rPr>
                <w:b w:val="0"/>
                <w:sz w:val="18"/>
              </w:rPr>
              <w:t>4</w:t>
            </w:r>
          </w:p>
        </w:tc>
        <w:tc>
          <w:tcPr>
            <w:tcW w:type="dxa" w:w="1500"/>
            <w:vAlign w:val="center"/>
            <w:tcMar>
              <w:top w:w="80" w:type="dxa"/>
              <w:start w:w="120" w:type="dxa"/>
              <w:bottom w:w="80" w:type="dxa"/>
              <w:end w:w="120" w:type="dxa"/>
            </w:tcMar>
          </w:tcPr>
          <w:p>
            <w:pPr>
              <w:spacing w:after="40"/>
              <w:jc w:val="center"/>
            </w:pPr>
            <w:r>
              <w:rPr>
                <w:b w:val="0"/>
                <w:sz w:val="18"/>
              </w:rPr>
              <w:t>786</w:t>
            </w:r>
          </w:p>
        </w:tc>
        <w:tc>
          <w:tcPr>
            <w:tcW w:type="dxa" w:w="2300"/>
            <w:vAlign w:val="center"/>
            <w:tcMar>
              <w:top w:w="80" w:type="dxa"/>
              <w:start w:w="120" w:type="dxa"/>
              <w:bottom w:w="80" w:type="dxa"/>
              <w:end w:w="120" w:type="dxa"/>
            </w:tcMar>
          </w:tcPr>
          <w:p>
            <w:pPr>
              <w:spacing w:after="40"/>
              <w:jc w:val="center"/>
            </w:pPr>
            <w:r>
              <w:rPr>
                <w:b w:val="0"/>
                <w:sz w:val="18"/>
              </w:rPr>
              <w:t>-0.005360</w:t>
            </w:r>
          </w:p>
        </w:tc>
        <w:tc>
          <w:tcPr>
            <w:tcW w:type="dxa" w:w="1700"/>
            <w:vAlign w:val="center"/>
            <w:tcMar>
              <w:top w:w="80" w:type="dxa"/>
              <w:start w:w="120" w:type="dxa"/>
              <w:bottom w:w="80" w:type="dxa"/>
              <w:end w:w="120" w:type="dxa"/>
            </w:tcMar>
          </w:tcPr>
          <w:p>
            <w:pPr>
              <w:spacing w:after="40"/>
              <w:jc w:val="center"/>
            </w:pPr>
            <w:r>
              <w:rPr>
                <w:b w:val="0"/>
                <w:sz w:val="18"/>
              </w:rPr>
              <w:t>148</w:t>
            </w:r>
          </w:p>
        </w:tc>
        <w:tc>
          <w:tcPr>
            <w:tcW w:type="dxa" w:w="2860"/>
            <w:vAlign w:val="center"/>
            <w:tcMar>
              <w:top w:w="80" w:type="dxa"/>
              <w:start w:w="120" w:type="dxa"/>
              <w:bottom w:w="80" w:type="dxa"/>
              <w:end w:w="120" w:type="dxa"/>
            </w:tcMar>
          </w:tcPr>
          <w:p>
            <w:pPr>
              <w:spacing w:after="40"/>
              <w:jc w:val="center"/>
            </w:pPr>
            <w:r>
              <w:rPr>
                <w:b w:val="0"/>
                <w:sz w:val="18"/>
              </w:rPr>
              <w:t>+0.022723</w:t>
            </w:r>
          </w:p>
        </w:tc>
      </w:tr>
      <w:tr>
        <w:trPr>
          <w:cantSplit/>
        </w:trPr>
        <w:tc>
          <w:tcPr>
            <w:tcW w:type="dxa" w:w="1000"/>
            <w:vAlign w:val="center"/>
            <w:tcMar>
              <w:top w:w="80" w:type="dxa"/>
              <w:start w:w="120" w:type="dxa"/>
              <w:bottom w:w="80" w:type="dxa"/>
              <w:end w:w="120" w:type="dxa"/>
            </w:tcMar>
          </w:tcPr>
          <w:p>
            <w:pPr>
              <w:spacing w:after="40"/>
            </w:pPr>
            <w:r>
              <w:rPr>
                <w:b w:val="0"/>
                <w:sz w:val="18"/>
              </w:rPr>
              <w:t>5</w:t>
            </w:r>
          </w:p>
        </w:tc>
        <w:tc>
          <w:tcPr>
            <w:tcW w:type="dxa" w:w="1500"/>
            <w:vAlign w:val="center"/>
            <w:tcMar>
              <w:top w:w="80" w:type="dxa"/>
              <w:start w:w="120" w:type="dxa"/>
              <w:bottom w:w="80" w:type="dxa"/>
              <w:end w:w="120" w:type="dxa"/>
            </w:tcMar>
          </w:tcPr>
          <w:p>
            <w:pPr>
              <w:spacing w:after="40"/>
              <w:jc w:val="center"/>
            </w:pPr>
            <w:r>
              <w:rPr>
                <w:b w:val="0"/>
                <w:sz w:val="18"/>
              </w:rPr>
              <w:t>779</w:t>
            </w:r>
          </w:p>
        </w:tc>
        <w:tc>
          <w:tcPr>
            <w:tcW w:type="dxa" w:w="2300"/>
            <w:vAlign w:val="center"/>
            <w:tcMar>
              <w:top w:w="80" w:type="dxa"/>
              <w:start w:w="120" w:type="dxa"/>
              <w:bottom w:w="80" w:type="dxa"/>
              <w:end w:w="120" w:type="dxa"/>
            </w:tcMar>
          </w:tcPr>
          <w:p>
            <w:pPr>
              <w:spacing w:after="40"/>
              <w:jc w:val="center"/>
            </w:pPr>
            <w:r>
              <w:rPr>
                <w:b w:val="0"/>
                <w:sz w:val="18"/>
              </w:rPr>
              <w:t>+0.002428</w:t>
            </w:r>
          </w:p>
        </w:tc>
        <w:tc>
          <w:tcPr>
            <w:tcW w:type="dxa" w:w="1700"/>
            <w:vAlign w:val="center"/>
            <w:tcMar>
              <w:top w:w="80" w:type="dxa"/>
              <w:start w:w="120" w:type="dxa"/>
              <w:bottom w:w="80" w:type="dxa"/>
              <w:end w:w="120" w:type="dxa"/>
            </w:tcMar>
          </w:tcPr>
          <w:p>
            <w:pPr>
              <w:spacing w:after="40"/>
              <w:jc w:val="center"/>
            </w:pPr>
            <w:r>
              <w:rPr>
                <w:b w:val="0"/>
                <w:sz w:val="18"/>
              </w:rPr>
              <w:t>123</w:t>
            </w:r>
          </w:p>
        </w:tc>
        <w:tc>
          <w:tcPr>
            <w:tcW w:type="dxa" w:w="2860"/>
            <w:vAlign w:val="center"/>
            <w:tcMar>
              <w:top w:w="80" w:type="dxa"/>
              <w:start w:w="120" w:type="dxa"/>
              <w:bottom w:w="80" w:type="dxa"/>
              <w:end w:w="120" w:type="dxa"/>
            </w:tcMar>
          </w:tcPr>
          <w:p>
            <w:pPr>
              <w:spacing w:after="40"/>
              <w:jc w:val="center"/>
            </w:pPr>
            <w:r>
              <w:rPr>
                <w:b w:val="0"/>
                <w:sz w:val="18"/>
              </w:rPr>
              <w:t>+0.044503</w:t>
            </w:r>
          </w:p>
        </w:tc>
      </w:tr>
    </w:tbl>
    <w:p>
      <w:pPr>
        <w:spacing w:after="0"/>
      </w:pPr>
    </w:p>
    <w:p>
      <w:r>
        <w:t>Both partitions were positive in four folds, but not the same four: the agreement partition was negative in Fold 4, while the disputed partition was negative in Fold 2. The disputed effect is therefore not a single-fold spike, although its small sample makes it less stable.</w:t>
      </w:r>
    </w:p>
    <w:p>
      <w:pPr>
        <w:pStyle w:val="Heading1"/>
      </w:pPr>
      <w:r>
        <w:t>Alignment scope</w:t>
      </w:r>
    </w:p>
    <w:tbl>
      <w:tblPr>
        <w:tblStyle w:val="TableGrid"/>
        <w:tblW w:type="dxa" w:w="9360"/>
        <w:tblLayout w:type="fixed"/>
        <w:tblLook w:firstColumn="1" w:firstRow="1" w:lastColumn="0" w:lastRow="0" w:noHBand="0" w:noVBand="1" w:val="04A0"/>
        <w:tblInd w:w="120" w:type="dxa"/>
      </w:tblPr>
      <w:tblGrid>
        <w:gridCol w:w="3100"/>
        <w:gridCol w:w="1900"/>
        <w:gridCol w:w="4360"/>
      </w:tblGrid>
      <w:tr>
        <w:trPr>
          <w:tblHeader w:val="true"/>
          <w:cantSplit/>
        </w:trPr>
        <w:tc>
          <w:tcPr>
            <w:tcW w:type="dxa" w:w="3100"/>
            <w:shd w:fill="F2F4F7"/>
            <w:vAlign w:val="center"/>
            <w:tcMar>
              <w:top w:w="80" w:type="dxa"/>
              <w:start w:w="120" w:type="dxa"/>
              <w:bottom w:w="80" w:type="dxa"/>
              <w:end w:w="120" w:type="dxa"/>
            </w:tcMar>
          </w:tcPr>
          <w:p>
            <w:pPr>
              <w:spacing w:after="40"/>
            </w:pPr>
            <w:r>
              <w:rPr>
                <w:b/>
                <w:sz w:val="18"/>
              </w:rPr>
              <w:t>Measure</w:t>
            </w:r>
          </w:p>
        </w:tc>
        <w:tc>
          <w:tcPr>
            <w:tcW w:type="dxa" w:w="1900"/>
            <w:shd w:fill="F2F4F7"/>
            <w:vAlign w:val="center"/>
            <w:tcMar>
              <w:top w:w="80" w:type="dxa"/>
              <w:start w:w="120" w:type="dxa"/>
              <w:bottom w:w="80" w:type="dxa"/>
              <w:end w:w="120" w:type="dxa"/>
            </w:tcMar>
          </w:tcPr>
          <w:p>
            <w:pPr>
              <w:spacing w:after="40"/>
              <w:jc w:val="center"/>
            </w:pPr>
            <w:r>
              <w:rPr>
                <w:b/>
                <w:sz w:val="18"/>
              </w:rPr>
              <w:t>Value</w:t>
            </w:r>
          </w:p>
        </w:tc>
        <w:tc>
          <w:tcPr>
            <w:tcW w:type="dxa" w:w="4360"/>
            <w:shd w:fill="F2F4F7"/>
            <w:vAlign w:val="center"/>
            <w:tcMar>
              <w:top w:w="80" w:type="dxa"/>
              <w:start w:w="120" w:type="dxa"/>
              <w:bottom w:w="80" w:type="dxa"/>
              <w:end w:w="120" w:type="dxa"/>
            </w:tcMar>
          </w:tcPr>
          <w:p>
            <w:pPr>
              <w:spacing w:after="40"/>
              <w:jc w:val="center"/>
            </w:pPr>
            <w:r>
              <w:rPr>
                <w:b/>
                <w:sz w:val="18"/>
              </w:rPr>
              <w:t>Meaning</w:t>
            </w:r>
          </w:p>
        </w:tc>
      </w:tr>
      <w:tr>
        <w:trPr>
          <w:cantSplit/>
        </w:trPr>
        <w:tc>
          <w:tcPr>
            <w:tcW w:type="dxa" w:w="3100"/>
            <w:vAlign w:val="center"/>
            <w:tcMar>
              <w:top w:w="80" w:type="dxa"/>
              <w:start w:w="120" w:type="dxa"/>
              <w:bottom w:w="80" w:type="dxa"/>
              <w:end w:w="120" w:type="dxa"/>
            </w:tcMar>
          </w:tcPr>
          <w:p>
            <w:pPr>
              <w:spacing w:after="40"/>
            </w:pPr>
            <w:r>
              <w:rPr>
                <w:b w:val="0"/>
                <w:sz w:val="18"/>
              </w:rPr>
              <w:t>Shared page-line records</w:t>
            </w:r>
          </w:p>
        </w:tc>
        <w:tc>
          <w:tcPr>
            <w:tcW w:type="dxa" w:w="1900"/>
            <w:vAlign w:val="center"/>
            <w:tcMar>
              <w:top w:w="80" w:type="dxa"/>
              <w:start w:w="120" w:type="dxa"/>
              <w:bottom w:w="80" w:type="dxa"/>
              <w:end w:w="120" w:type="dxa"/>
            </w:tcMar>
          </w:tcPr>
          <w:p>
            <w:pPr>
              <w:spacing w:after="40"/>
              <w:jc w:val="center"/>
            </w:pPr>
            <w:r>
              <w:rPr>
                <w:b w:val="0"/>
                <w:sz w:val="18"/>
              </w:rPr>
              <w:t>5133</w:t>
            </w:r>
          </w:p>
        </w:tc>
        <w:tc>
          <w:tcPr>
            <w:tcW w:type="dxa" w:w="4360"/>
            <w:vAlign w:val="center"/>
            <w:tcMar>
              <w:top w:w="80" w:type="dxa"/>
              <w:start w:w="120" w:type="dxa"/>
              <w:bottom w:w="80" w:type="dxa"/>
              <w:end w:w="120" w:type="dxa"/>
            </w:tcMar>
          </w:tcPr>
          <w:p>
            <w:pPr>
              <w:spacing w:after="40"/>
              <w:jc w:val="center"/>
            </w:pPr>
            <w:r>
              <w:rPr>
                <w:b w:val="0"/>
                <w:sz w:val="18"/>
              </w:rPr>
              <w:t>Both transcriptions available</w:t>
            </w:r>
          </w:p>
        </w:tc>
      </w:tr>
      <w:tr>
        <w:trPr>
          <w:cantSplit/>
        </w:trPr>
        <w:tc>
          <w:tcPr>
            <w:tcW w:type="dxa" w:w="3100"/>
            <w:vAlign w:val="center"/>
            <w:tcMar>
              <w:top w:w="80" w:type="dxa"/>
              <w:start w:w="120" w:type="dxa"/>
              <w:bottom w:w="80" w:type="dxa"/>
              <w:end w:w="120" w:type="dxa"/>
            </w:tcMar>
          </w:tcPr>
          <w:p>
            <w:pPr>
              <w:spacing w:after="40"/>
            </w:pPr>
            <w:r>
              <w:rPr>
                <w:b w:val="0"/>
                <w:sz w:val="18"/>
              </w:rPr>
              <w:t>Takahashi-only lines</w:t>
            </w:r>
          </w:p>
        </w:tc>
        <w:tc>
          <w:tcPr>
            <w:tcW w:type="dxa" w:w="1900"/>
            <w:vAlign w:val="center"/>
            <w:tcMar>
              <w:top w:w="80" w:type="dxa"/>
              <w:start w:w="120" w:type="dxa"/>
              <w:bottom w:w="80" w:type="dxa"/>
              <w:end w:w="120" w:type="dxa"/>
            </w:tcMar>
          </w:tcPr>
          <w:p>
            <w:pPr>
              <w:spacing w:after="40"/>
              <w:jc w:val="center"/>
            </w:pPr>
            <w:r>
              <w:rPr>
                <w:b w:val="0"/>
                <w:sz w:val="18"/>
              </w:rPr>
              <w:t>5</w:t>
            </w:r>
          </w:p>
        </w:tc>
        <w:tc>
          <w:tcPr>
            <w:tcW w:type="dxa" w:w="4360"/>
            <w:vAlign w:val="center"/>
            <w:tcMar>
              <w:top w:w="80" w:type="dxa"/>
              <w:start w:w="120" w:type="dxa"/>
              <w:bottom w:w="80" w:type="dxa"/>
              <w:end w:w="120" w:type="dxa"/>
            </w:tcMar>
          </w:tcPr>
          <w:p>
            <w:pPr>
              <w:spacing w:after="40"/>
              <w:jc w:val="center"/>
            </w:pPr>
            <w:r>
              <w:rPr>
                <w:b w:val="0"/>
                <w:sz w:val="18"/>
              </w:rPr>
              <w:t>No ZL counterpart</w:t>
            </w:r>
          </w:p>
        </w:tc>
      </w:tr>
      <w:tr>
        <w:trPr>
          <w:cantSplit/>
        </w:trPr>
        <w:tc>
          <w:tcPr>
            <w:tcW w:type="dxa" w:w="3100"/>
            <w:vAlign w:val="center"/>
            <w:tcMar>
              <w:top w:w="80" w:type="dxa"/>
              <w:start w:w="120" w:type="dxa"/>
              <w:bottom w:w="80" w:type="dxa"/>
              <w:end w:w="120" w:type="dxa"/>
            </w:tcMar>
          </w:tcPr>
          <w:p>
            <w:pPr>
              <w:spacing w:after="40"/>
            </w:pPr>
            <w:r>
              <w:rPr>
                <w:b w:val="0"/>
                <w:sz w:val="18"/>
              </w:rPr>
              <w:t>Takahashi tokens in compared lines</w:t>
            </w:r>
          </w:p>
        </w:tc>
        <w:tc>
          <w:tcPr>
            <w:tcW w:type="dxa" w:w="1900"/>
            <w:vAlign w:val="center"/>
            <w:tcMar>
              <w:top w:w="80" w:type="dxa"/>
              <w:start w:w="120" w:type="dxa"/>
              <w:bottom w:w="80" w:type="dxa"/>
              <w:end w:w="120" w:type="dxa"/>
            </w:tcMar>
          </w:tcPr>
          <w:p>
            <w:pPr>
              <w:spacing w:after="40"/>
              <w:jc w:val="center"/>
            </w:pPr>
            <w:r>
              <w:rPr>
                <w:b w:val="0"/>
                <w:sz w:val="18"/>
              </w:rPr>
              <w:t>40831</w:t>
            </w:r>
          </w:p>
        </w:tc>
        <w:tc>
          <w:tcPr>
            <w:tcW w:type="dxa" w:w="4360"/>
            <w:vAlign w:val="center"/>
            <w:tcMar>
              <w:top w:w="80" w:type="dxa"/>
              <w:start w:w="120" w:type="dxa"/>
              <w:bottom w:w="80" w:type="dxa"/>
              <w:end w:w="120" w:type="dxa"/>
            </w:tcMar>
          </w:tcPr>
          <w:p>
            <w:pPr>
              <w:spacing w:after="40"/>
              <w:jc w:val="center"/>
            </w:pPr>
            <w:r>
              <w:rPr>
                <w:b w:val="0"/>
                <w:sz w:val="18"/>
              </w:rPr>
              <w:t>Full alignment input</w:t>
            </w:r>
          </w:p>
        </w:tc>
      </w:tr>
      <w:tr>
        <w:trPr>
          <w:cantSplit/>
        </w:trPr>
        <w:tc>
          <w:tcPr>
            <w:tcW w:type="dxa" w:w="3100"/>
            <w:vAlign w:val="center"/>
            <w:tcMar>
              <w:top w:w="80" w:type="dxa"/>
              <w:start w:w="120" w:type="dxa"/>
              <w:bottom w:w="80" w:type="dxa"/>
              <w:end w:w="120" w:type="dxa"/>
            </w:tcMar>
          </w:tcPr>
          <w:p>
            <w:pPr>
              <w:spacing w:after="40"/>
            </w:pPr>
            <w:r>
              <w:rPr>
                <w:b w:val="0"/>
                <w:sz w:val="18"/>
              </w:rPr>
              <w:t>Exactly aligned tokens</w:t>
            </w:r>
          </w:p>
        </w:tc>
        <w:tc>
          <w:tcPr>
            <w:tcW w:type="dxa" w:w="1900"/>
            <w:vAlign w:val="center"/>
            <w:tcMar>
              <w:top w:w="80" w:type="dxa"/>
              <w:start w:w="120" w:type="dxa"/>
              <w:bottom w:w="80" w:type="dxa"/>
              <w:end w:w="120" w:type="dxa"/>
            </w:tcMar>
          </w:tcPr>
          <w:p>
            <w:pPr>
              <w:spacing w:after="40"/>
              <w:jc w:val="center"/>
            </w:pPr>
            <w:r>
              <w:rPr>
                <w:b w:val="0"/>
                <w:sz w:val="18"/>
              </w:rPr>
              <w:t>30903</w:t>
            </w:r>
          </w:p>
        </w:tc>
        <w:tc>
          <w:tcPr>
            <w:tcW w:type="dxa" w:w="4360"/>
            <w:vAlign w:val="center"/>
            <w:tcMar>
              <w:top w:w="80" w:type="dxa"/>
              <w:start w:w="120" w:type="dxa"/>
              <w:bottom w:w="80" w:type="dxa"/>
              <w:end w:w="120" w:type="dxa"/>
            </w:tcMar>
          </w:tcPr>
          <w:p>
            <w:pPr>
              <w:spacing w:after="40"/>
              <w:jc w:val="center"/>
            </w:pPr>
            <w:r>
              <w:rPr>
                <w:b w:val="0"/>
                <w:sz w:val="18"/>
              </w:rPr>
              <w:t>75.7% of line tokens</w:t>
            </w:r>
          </w:p>
        </w:tc>
      </w:tr>
      <w:tr>
        <w:trPr>
          <w:cantSplit/>
        </w:trPr>
        <w:tc>
          <w:tcPr>
            <w:tcW w:type="dxa" w:w="3100"/>
            <w:vAlign w:val="center"/>
            <w:tcMar>
              <w:top w:w="80" w:type="dxa"/>
              <w:start w:w="120" w:type="dxa"/>
              <w:bottom w:w="80" w:type="dxa"/>
              <w:end w:w="120" w:type="dxa"/>
            </w:tcMar>
          </w:tcPr>
          <w:p>
            <w:pPr>
              <w:spacing w:after="40"/>
            </w:pPr>
            <w:r>
              <w:rPr>
                <w:b w:val="0"/>
                <w:sz w:val="18"/>
              </w:rPr>
              <w:t>Eligible segment emissions</w:t>
            </w:r>
          </w:p>
        </w:tc>
        <w:tc>
          <w:tcPr>
            <w:tcW w:type="dxa" w:w="1900"/>
            <w:vAlign w:val="center"/>
            <w:tcMar>
              <w:top w:w="80" w:type="dxa"/>
              <w:start w:w="120" w:type="dxa"/>
              <w:bottom w:w="80" w:type="dxa"/>
              <w:end w:w="120" w:type="dxa"/>
            </w:tcMar>
          </w:tcPr>
          <w:p>
            <w:pPr>
              <w:spacing w:after="40"/>
              <w:jc w:val="center"/>
            </w:pPr>
            <w:r>
              <w:rPr>
                <w:b w:val="0"/>
                <w:sz w:val="18"/>
              </w:rPr>
              <w:t>4227</w:t>
            </w:r>
          </w:p>
        </w:tc>
        <w:tc>
          <w:tcPr>
            <w:tcW w:type="dxa" w:w="4360"/>
            <w:vAlign w:val="center"/>
            <w:tcMar>
              <w:top w:w="80" w:type="dxa"/>
              <w:start w:w="120" w:type="dxa"/>
              <w:bottom w:w="80" w:type="dxa"/>
              <w:end w:w="120" w:type="dxa"/>
            </w:tcMar>
          </w:tcPr>
          <w:p>
            <w:pPr>
              <w:spacing w:after="40"/>
              <w:jc w:val="center"/>
            </w:pPr>
            <w:r>
              <w:rPr>
                <w:b w:val="0"/>
                <w:sz w:val="18"/>
              </w:rPr>
              <w:t>Frozen operator scoring set</w:t>
            </w:r>
          </w:p>
        </w:tc>
      </w:tr>
    </w:tbl>
    <w:p>
      <w:pPr>
        <w:spacing w:after="0"/>
      </w:pPr>
    </w:p>
    <w:p>
      <w:r>
        <w:t>The agreement definition is intentionally strict and outcome-blind. Its weakness is that DISPUTED currently combines several phenomena: genuine glyph-reading differences, token substitutions, inserted/deleted tokens, word-boundary changes, and alignment displacement. Those categories may not have the same structural effect.</w:t>
      </w:r>
    </w:p>
    <w:p>
      <w:pPr>
        <w:pStyle w:val="Heading1"/>
      </w:pPr>
      <w:r>
        <w:t>Gate decision</w:t>
      </w:r>
    </w:p>
    <w:tbl>
      <w:tblPr>
        <w:tblStyle w:val="TableGrid"/>
        <w:tblW w:type="dxa" w:w="9360"/>
        <w:tblLayout w:type="fixed"/>
        <w:tblLook w:firstColumn="1" w:firstRow="1" w:lastColumn="0" w:lastRow="0" w:noHBand="0" w:noVBand="1" w:val="04A0"/>
        <w:tblInd w:w="120" w:type="dxa"/>
      </w:tblPr>
      <w:tblGrid>
        <w:gridCol w:w="6900"/>
        <w:gridCol w:w="2460"/>
      </w:tblGrid>
      <w:tr>
        <w:trPr>
          <w:tblHeader w:val="true"/>
          <w:cantSplit/>
        </w:trPr>
        <w:tc>
          <w:tcPr>
            <w:tcW w:type="dxa" w:w="6900"/>
            <w:shd w:fill="F2F4F7"/>
            <w:vAlign w:val="center"/>
            <w:tcMar>
              <w:top w:w="80" w:type="dxa"/>
              <w:start w:w="120" w:type="dxa"/>
              <w:bottom w:w="80" w:type="dxa"/>
              <w:end w:w="120" w:type="dxa"/>
            </w:tcMar>
          </w:tcPr>
          <w:p>
            <w:pPr>
              <w:spacing w:after="40"/>
            </w:pPr>
            <w:r>
              <w:rPr>
                <w:b/>
                <w:sz w:val="18"/>
              </w:rPr>
              <w:t>Gate</w:t>
            </w:r>
          </w:p>
        </w:tc>
        <w:tc>
          <w:tcPr>
            <w:tcW w:type="dxa" w:w="2460"/>
            <w:shd w:fill="F2F4F7"/>
            <w:vAlign w:val="center"/>
            <w:tcMar>
              <w:top w:w="80" w:type="dxa"/>
              <w:start w:w="120" w:type="dxa"/>
              <w:bottom w:w="80" w:type="dxa"/>
              <w:end w:w="120" w:type="dxa"/>
            </w:tcMar>
          </w:tcPr>
          <w:p>
            <w:pPr>
              <w:spacing w:after="40"/>
              <w:jc w:val="center"/>
            </w:pPr>
            <w:r>
              <w:rPr>
                <w:b/>
                <w:sz w:val="18"/>
              </w:rPr>
              <w:t>Result</w:t>
            </w:r>
          </w:p>
        </w:tc>
      </w:tr>
      <w:tr>
        <w:trPr>
          <w:cantSplit/>
        </w:trPr>
        <w:tc>
          <w:tcPr>
            <w:tcW w:type="dxa" w:w="6900"/>
            <w:vAlign w:val="center"/>
            <w:tcMar>
              <w:top w:w="80" w:type="dxa"/>
              <w:start w:w="120" w:type="dxa"/>
              <w:bottom w:w="80" w:type="dxa"/>
              <w:end w:w="120" w:type="dxa"/>
            </w:tcMar>
          </w:tcPr>
          <w:p>
            <w:pPr>
              <w:spacing w:after="40"/>
            </w:pPr>
            <w:r>
              <w:rPr>
                <w:b w:val="0"/>
                <w:sz w:val="18"/>
              </w:rPr>
              <w:t>agreement raw positive</w:t>
            </w:r>
          </w:p>
        </w:tc>
        <w:tc>
          <w:tcPr>
            <w:tcW w:type="dxa" w:w="2460"/>
            <w:vAlign w:val="center"/>
            <w:tcMar>
              <w:top w:w="80" w:type="dxa"/>
              <w:start w:w="120" w:type="dxa"/>
              <w:bottom w:w="80" w:type="dxa"/>
              <w:end w:w="120" w:type="dxa"/>
            </w:tcMar>
          </w:tcPr>
          <w:p>
            <w:pPr>
              <w:spacing w:after="40"/>
              <w:jc w:val="center"/>
            </w:pPr>
            <w:r>
              <w:rPr>
                <w:b w:val="0"/>
                <w:sz w:val="18"/>
              </w:rPr>
              <w:t>PASS</w:t>
            </w:r>
          </w:p>
        </w:tc>
      </w:tr>
      <w:tr>
        <w:trPr>
          <w:cantSplit/>
        </w:trPr>
        <w:tc>
          <w:tcPr>
            <w:tcW w:type="dxa" w:w="6900"/>
            <w:vAlign w:val="center"/>
            <w:tcMar>
              <w:top w:w="80" w:type="dxa"/>
              <w:start w:w="120" w:type="dxa"/>
              <w:bottom w:w="80" w:type="dxa"/>
              <w:end w:w="120" w:type="dxa"/>
            </w:tcMar>
          </w:tcPr>
          <w:p>
            <w:pPr>
              <w:spacing w:after="40"/>
            </w:pPr>
            <w:r>
              <w:rPr>
                <w:b w:val="0"/>
                <w:sz w:val="18"/>
              </w:rPr>
              <w:t>agreement positive folds at least 4</w:t>
            </w:r>
          </w:p>
        </w:tc>
        <w:tc>
          <w:tcPr>
            <w:tcW w:type="dxa" w:w="2460"/>
            <w:vAlign w:val="center"/>
            <w:tcMar>
              <w:top w:w="80" w:type="dxa"/>
              <w:start w:w="120" w:type="dxa"/>
              <w:bottom w:w="80" w:type="dxa"/>
              <w:end w:w="120" w:type="dxa"/>
            </w:tcMar>
          </w:tcPr>
          <w:p>
            <w:pPr>
              <w:spacing w:after="40"/>
              <w:jc w:val="center"/>
            </w:pPr>
            <w:r>
              <w:rPr>
                <w:b w:val="0"/>
                <w:sz w:val="18"/>
              </w:rPr>
              <w:t>PASS</w:t>
            </w:r>
          </w:p>
        </w:tc>
      </w:tr>
      <w:tr>
        <w:trPr>
          <w:cantSplit/>
        </w:trPr>
        <w:tc>
          <w:tcPr>
            <w:tcW w:type="dxa" w:w="6900"/>
            <w:vAlign w:val="center"/>
            <w:tcMar>
              <w:top w:w="80" w:type="dxa"/>
              <w:start w:w="120" w:type="dxa"/>
              <w:bottom w:w="80" w:type="dxa"/>
              <w:end w:w="120" w:type="dxa"/>
            </w:tcMar>
          </w:tcPr>
          <w:p>
            <w:pPr>
              <w:spacing w:after="40"/>
            </w:pPr>
            <w:r>
              <w:rPr>
                <w:b w:val="0"/>
                <w:sz w:val="18"/>
              </w:rPr>
              <w:t>agreement p lt 05</w:t>
            </w:r>
          </w:p>
        </w:tc>
        <w:tc>
          <w:tcPr>
            <w:tcW w:type="dxa" w:w="2460"/>
            <w:vAlign w:val="center"/>
            <w:tcMar>
              <w:top w:w="80" w:type="dxa"/>
              <w:start w:w="120" w:type="dxa"/>
              <w:bottom w:w="80" w:type="dxa"/>
              <w:end w:w="120" w:type="dxa"/>
            </w:tcMar>
          </w:tcPr>
          <w:p>
            <w:pPr>
              <w:spacing w:after="40"/>
              <w:jc w:val="center"/>
            </w:pPr>
            <w:r>
              <w:rPr>
                <w:b w:val="0"/>
                <w:sz w:val="18"/>
              </w:rPr>
              <w:t>PASS</w:t>
            </w:r>
          </w:p>
        </w:tc>
      </w:tr>
      <w:tr>
        <w:trPr>
          <w:cantSplit/>
        </w:trPr>
        <w:tc>
          <w:tcPr>
            <w:tcW w:type="dxa" w:w="6900"/>
            <w:vAlign w:val="center"/>
            <w:tcMar>
              <w:top w:w="80" w:type="dxa"/>
              <w:start w:w="120" w:type="dxa"/>
              <w:bottom w:w="80" w:type="dxa"/>
              <w:end w:w="120" w:type="dxa"/>
            </w:tcMar>
          </w:tcPr>
          <w:p>
            <w:pPr>
              <w:spacing w:after="40"/>
            </w:pPr>
            <w:r>
              <w:rPr>
                <w:b w:val="0"/>
                <w:sz w:val="18"/>
              </w:rPr>
              <w:t>agreement gain share ge token share</w:t>
            </w:r>
          </w:p>
        </w:tc>
        <w:tc>
          <w:tcPr>
            <w:tcW w:type="dxa" w:w="2460"/>
            <w:vAlign w:val="center"/>
            <w:tcMar>
              <w:top w:w="80" w:type="dxa"/>
              <w:start w:w="120" w:type="dxa"/>
              <w:bottom w:w="80" w:type="dxa"/>
              <w:end w:w="120" w:type="dxa"/>
            </w:tcMar>
          </w:tcPr>
          <w:p>
            <w:pPr>
              <w:spacing w:after="40"/>
              <w:jc w:val="center"/>
            </w:pPr>
            <w:r>
              <w:rPr>
                <w:b w:val="0"/>
                <w:sz w:val="18"/>
              </w:rPr>
              <w:t>FAIL</w:t>
            </w:r>
          </w:p>
        </w:tc>
      </w:tr>
    </w:tbl>
    <w:p>
      <w:pPr>
        <w:spacing w:after="0"/>
      </w:pPr>
    </w:p>
    <w:p>
      <w:r>
        <w:t>Three gates pass: agreement is positive, positive in at least four folds, and significant. The proportional-concentration gate fails. Therefore v8.23 is a mixed result rather than either a clean validation or a collapse.</w:t>
      </w:r>
    </w:p>
    <w:p>
      <w:pPr>
        <w:pStyle w:val="Heading1"/>
      </w:pPr>
      <w:r>
        <w:t>Next decisive test</w:t>
      </w:r>
    </w:p>
    <w:p>
      <w:r>
        <w:t>Decompose DISPUTED before changing any model. Freeze three outcome-blind alignment categories: (1) one-to-one token substitution, (2) insertion/deletion or word-boundary gap, and (3) locally displaced alignment. Score the same frozen rule in each category and in exact agreement, using the same folds and matched nulls.</w:t>
      </w:r>
    </w:p>
    <w:p>
      <w:r>
        <w:t>If the excess gain sits mainly in gap/boundary cases, it is likely a tokenization artifact. If one-to-one glyph disagreements retain the excess, the structural rule may be detecting visually ambiguous manuscript features rather than a normalized textual invariant. If no dispute subtype survives after correction, the stable agreement signal becomes the primary result.</w:t>
      </w:r>
    </w:p>
    <w:p>
      <w:pPr>
        <w:pStyle w:val="Heading1"/>
      </w:pPr>
      <w:r>
        <w:t>Interpretation limits</w:t>
      </w:r>
    </w:p>
    <w:p>
      <w:r>
        <w:t>This test concerns robustness of one weak statistical association. It does not establish language, cipher, grammar, mathematics, authorial intent, or decryption. Its value is diagnostic: it tells us exactly where the remaining transcription dependence resides.</w:t>
      </w:r>
    </w:p>
    <w:p>
      <w:pPr>
        <w:pStyle w:val="Heading2"/>
      </w:pPr>
      <w:r>
        <w:t>Sealed receipt</w:t>
      </w:r>
    </w:p>
    <w:p>
      <w:r>
        <w:t>Decision: CONSENSUS_PARTITION_DID_NOT_CLEAR_ALL_GATES</w:t>
      </w:r>
    </w:p>
    <w:p>
      <w:r>
        <w:t>Specification hash: d0032e1752ef7e5d5055306646c6e71b23bcc2841151a36e1538f7c32bc743aa</w:t>
      </w:r>
    </w:p>
    <w:p>
      <w:r>
        <w:t>Terminal hash: fea2478b09e8d9f96f0fa9de09e7e7bb63c684d9859bc779ac20bbbb5d42acb5</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v8.23  |  17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77A"/>
        <w:sz w:val="18"/>
      </w:rPr>
      <w:t>ABAD ADAPTIVE ZD30  |  CONSENSUS PARTITION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264" w:lineRule="auto"/>
    </w:pPr>
    <w:rPr>
      <w:rFonts w:ascii="Calibri" w:hAnsi="Calibri"/>
      <w:b w:val="0"/>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64"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100" w:line="264" w:lineRule="auto" w:before="0"/>
      <w:contextualSpacing/>
    </w:pPr>
    <w:rPr>
      <w:rFonts w:asciiTheme="majorHAnsi" w:eastAsiaTheme="majorEastAsia" w:hAnsiTheme="majorHAnsi" w:cstheme="majorBidi" w:ascii="Calibri" w:hAnsi="Calibri"/>
      <w:b/>
      <w:color w:val="0B254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before="0" w:after="280" w:line="264" w:lineRule="auto"/>
    </w:pPr>
    <w:rPr>
      <w:rFonts w:asciiTheme="majorHAnsi" w:eastAsiaTheme="majorEastAsia" w:hAnsiTheme="majorHAnsi" w:cstheme="majorBidi" w:ascii="Calibri" w:hAnsi="Calibri"/>
      <w:b w:val="0"/>
      <w:i/>
      <w:iCs/>
      <w:color w:val="5B677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