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SPARSE MDL SEGMENT GRAMMAR</w:t>
      </w:r>
    </w:p>
    <w:p>
      <w:pPr>
        <w:pStyle w:val="Subtitle"/>
      </w:pPr>
      <w:r>
        <w:t>Can the portable v8.10 anchor signal be reduced to a genuinely compact grammar?</w:t>
      </w:r>
    </w:p>
    <w:p>
      <w:r>
        <w:rPr>
          <w:b/>
          <w:color w:val="2E74B5"/>
        </w:rPr>
        <w:t xml:space="preserve">DECISION  </w:t>
      </w:r>
      <w:r>
        <w:t>Partial success, strict fail. The model beat the nulls and remained positive overall, but did not remain MDL-positive in every contributor block.</w:t>
      </w:r>
    </w:p>
    <w:p>
      <w:pPr>
        <w:pStyle w:val="Heading1"/>
      </w:pPr>
      <w:r>
        <w:t>Executive result</w:t>
      </w:r>
    </w:p>
    <w:p>
      <w:r>
        <w:t>The sparse model preserved the core predictive association: all four held-out blocks showed positive raw gain, the aggregate complexity-penalized gain was +0.03638 bits per atom, and the selection-aware test was significant (p = 0.00498). However, only two of four blocks remained positive after each block paid its full deployment cost. Under the preregistered all-gates rule, v8.11 therefore fails.</w:t>
      </w:r>
    </w:p>
    <w:tbl>
      <w:tblPr>
        <w:tblStyle w:val="TableGrid"/>
        <w:tblW w:type="auto" w:w="0"/>
        <w:tblLayout w:type="fixed"/>
        <w:tblLook w:firstColumn="1" w:firstRow="1" w:lastColumn="0" w:lastRow="0" w:noHBand="0" w:noVBand="1" w:val="04A0"/>
        <w:tblW w:w="9360" w:type="dxa"/>
        <w:tblInd w:w="120" w:type="dxa"/>
      </w:tblPr>
      <w:tblGrid>
        <w:gridCol w:w="2600"/>
        <w:gridCol w:w="2450"/>
        <w:gridCol w:w="2200"/>
        <w:gridCol w:w="2110"/>
      </w:tblGrid>
      <w:tr>
        <w:trPr>
          <w:tblHeader w:val="true"/>
          <w:cantSplit/>
        </w:trPr>
        <w:tc>
          <w:tcPr>
            <w:tcW w:type="dxa" w:w="2600"/>
            <w:shd w:fill="F2F4F7"/>
            <w:vAlign w:val="center"/>
            <w:tcMar>
              <w:top w:w="80" w:type="dxa"/>
              <w:start w:w="120" w:type="dxa"/>
              <w:bottom w:w="80" w:type="dxa"/>
              <w:end w:w="120" w:type="dxa"/>
            </w:tcMar>
          </w:tcPr>
          <w:p>
            <w:pPr>
              <w:spacing w:after="40"/>
            </w:pPr>
            <w:r>
              <w:rPr>
                <w:b/>
                <w:sz w:val="18"/>
              </w:rPr>
              <w:t>Measure</w:t>
            </w:r>
          </w:p>
        </w:tc>
        <w:tc>
          <w:tcPr>
            <w:tcW w:type="dxa" w:w="2450"/>
            <w:shd w:fill="F2F4F7"/>
            <w:vAlign w:val="center"/>
            <w:tcMar>
              <w:top w:w="80" w:type="dxa"/>
              <w:start w:w="120" w:type="dxa"/>
              <w:bottom w:w="80" w:type="dxa"/>
              <w:end w:w="120" w:type="dxa"/>
            </w:tcMar>
          </w:tcPr>
          <w:p>
            <w:pPr>
              <w:spacing w:after="40"/>
              <w:jc w:val="center"/>
            </w:pPr>
            <w:r>
              <w:rPr>
                <w:b/>
                <w:sz w:val="18"/>
              </w:rPr>
              <w:t>Observed</w:t>
            </w:r>
          </w:p>
        </w:tc>
        <w:tc>
          <w:tcPr>
            <w:tcW w:type="dxa" w:w="2200"/>
            <w:shd w:fill="F2F4F7"/>
            <w:vAlign w:val="center"/>
            <w:tcMar>
              <w:top w:w="80" w:type="dxa"/>
              <w:start w:w="120" w:type="dxa"/>
              <w:bottom w:w="80" w:type="dxa"/>
              <w:end w:w="120" w:type="dxa"/>
            </w:tcMar>
          </w:tcPr>
          <w:p>
            <w:pPr>
              <w:spacing w:after="40"/>
              <w:jc w:val="center"/>
            </w:pPr>
            <w:r>
              <w:rPr>
                <w:b/>
                <w:sz w:val="18"/>
              </w:rPr>
              <w:t>Required</w:t>
            </w:r>
          </w:p>
        </w:tc>
        <w:tc>
          <w:tcPr>
            <w:tcW w:type="dxa" w:w="2110"/>
            <w:shd w:fill="F2F4F7"/>
            <w:vAlign w:val="center"/>
            <w:tcMar>
              <w:top w:w="80" w:type="dxa"/>
              <w:start w:w="120" w:type="dxa"/>
              <w:bottom w:w="80" w:type="dxa"/>
              <w:end w:w="120" w:type="dxa"/>
            </w:tcMar>
          </w:tcPr>
          <w:p>
            <w:pPr>
              <w:spacing w:after="40"/>
              <w:jc w:val="center"/>
            </w:pPr>
            <w:r>
              <w:rPr>
                <w:b/>
                <w:sz w:val="18"/>
              </w:rPr>
              <w:t>Gate</w:t>
            </w:r>
          </w:p>
        </w:tc>
      </w:tr>
      <w:tr>
        <w:trPr>
          <w:cantSplit/>
        </w:trPr>
        <w:tc>
          <w:tcPr>
            <w:tcW w:type="dxa" w:w="2600"/>
            <w:vAlign w:val="center"/>
            <w:tcMar>
              <w:top w:w="80" w:type="dxa"/>
              <w:start w:w="120" w:type="dxa"/>
              <w:bottom w:w="80" w:type="dxa"/>
              <w:end w:w="120" w:type="dxa"/>
            </w:tcMar>
          </w:tcPr>
          <w:p>
            <w:pPr>
              <w:spacing w:after="40"/>
            </w:pPr>
            <w:r>
              <w:rPr>
                <w:b w:val="0"/>
                <w:sz w:val="18"/>
              </w:rPr>
              <w:t>Raw gain</w:t>
            </w:r>
          </w:p>
        </w:tc>
        <w:tc>
          <w:tcPr>
            <w:tcW w:type="dxa" w:w="2450"/>
            <w:vAlign w:val="center"/>
            <w:tcMar>
              <w:top w:w="80" w:type="dxa"/>
              <w:start w:w="120" w:type="dxa"/>
              <w:bottom w:w="80" w:type="dxa"/>
              <w:end w:w="120" w:type="dxa"/>
            </w:tcMar>
          </w:tcPr>
          <w:p>
            <w:pPr>
              <w:spacing w:after="40"/>
              <w:jc w:val="center"/>
            </w:pPr>
            <w:r>
              <w:rPr>
                <w:b w:val="0"/>
                <w:sz w:val="18"/>
              </w:rPr>
              <w:t>+0.15930 bits/atom</w:t>
            </w:r>
          </w:p>
        </w:tc>
        <w:tc>
          <w:tcPr>
            <w:tcW w:type="dxa" w:w="2200"/>
            <w:vAlign w:val="center"/>
            <w:tcMar>
              <w:top w:w="80" w:type="dxa"/>
              <w:start w:w="120" w:type="dxa"/>
              <w:bottom w:w="80" w:type="dxa"/>
              <w:end w:w="120" w:type="dxa"/>
            </w:tcMar>
          </w:tcPr>
          <w:p>
            <w:pPr>
              <w:spacing w:after="40"/>
              <w:jc w:val="center"/>
            </w:pPr>
            <w:r>
              <w:rPr>
                <w:b w:val="0"/>
                <w:sz w:val="18"/>
              </w:rPr>
              <w:t>Positive in 4/4</w:t>
            </w:r>
          </w:p>
        </w:tc>
        <w:tc>
          <w:tcPr>
            <w:tcW w:type="dxa" w:w="2110"/>
            <w:vAlign w:val="center"/>
            <w:tcMar>
              <w:top w:w="80" w:type="dxa"/>
              <w:start w:w="120" w:type="dxa"/>
              <w:bottom w:w="80" w:type="dxa"/>
              <w:end w:w="120" w:type="dxa"/>
            </w:tcMar>
          </w:tcPr>
          <w:p>
            <w:pPr>
              <w:spacing w:after="40"/>
              <w:jc w:val="center"/>
            </w:pPr>
            <w:r>
              <w:rPr>
                <w:b w:val="0"/>
                <w:sz w:val="18"/>
              </w:rPr>
              <w:t>PASS</w:t>
            </w:r>
          </w:p>
        </w:tc>
      </w:tr>
      <w:tr>
        <w:trPr>
          <w:cantSplit/>
        </w:trPr>
        <w:tc>
          <w:tcPr>
            <w:tcW w:type="dxa" w:w="2600"/>
            <w:vAlign w:val="center"/>
            <w:tcMar>
              <w:top w:w="80" w:type="dxa"/>
              <w:start w:w="120" w:type="dxa"/>
              <w:bottom w:w="80" w:type="dxa"/>
              <w:end w:w="120" w:type="dxa"/>
            </w:tcMar>
          </w:tcPr>
          <w:p>
            <w:pPr>
              <w:spacing w:after="40"/>
            </w:pPr>
            <w:r>
              <w:rPr>
                <w:b w:val="0"/>
                <w:sz w:val="18"/>
              </w:rPr>
              <w:t>MDL gain</w:t>
            </w:r>
          </w:p>
        </w:tc>
        <w:tc>
          <w:tcPr>
            <w:tcW w:type="dxa" w:w="2450"/>
            <w:vAlign w:val="center"/>
            <w:tcMar>
              <w:top w:w="80" w:type="dxa"/>
              <w:start w:w="120" w:type="dxa"/>
              <w:bottom w:w="80" w:type="dxa"/>
              <w:end w:w="120" w:type="dxa"/>
            </w:tcMar>
          </w:tcPr>
          <w:p>
            <w:pPr>
              <w:spacing w:after="40"/>
              <w:jc w:val="center"/>
            </w:pPr>
            <w:r>
              <w:rPr>
                <w:b w:val="0"/>
                <w:sz w:val="18"/>
              </w:rPr>
              <w:t>+0.03638 bits/atom</w:t>
            </w:r>
          </w:p>
        </w:tc>
        <w:tc>
          <w:tcPr>
            <w:tcW w:type="dxa" w:w="2200"/>
            <w:vAlign w:val="center"/>
            <w:tcMar>
              <w:top w:w="80" w:type="dxa"/>
              <w:start w:w="120" w:type="dxa"/>
              <w:bottom w:w="80" w:type="dxa"/>
              <w:end w:w="120" w:type="dxa"/>
            </w:tcMar>
          </w:tcPr>
          <w:p>
            <w:pPr>
              <w:spacing w:after="40"/>
              <w:jc w:val="center"/>
            </w:pPr>
            <w:r>
              <w:rPr>
                <w:b w:val="0"/>
                <w:sz w:val="18"/>
              </w:rPr>
              <w:t>Positive in 4/4</w:t>
            </w:r>
          </w:p>
        </w:tc>
        <w:tc>
          <w:tcPr>
            <w:tcW w:type="dxa" w:w="2110"/>
            <w:vAlign w:val="center"/>
            <w:tcMar>
              <w:top w:w="80" w:type="dxa"/>
              <w:start w:w="120" w:type="dxa"/>
              <w:bottom w:w="80" w:type="dxa"/>
              <w:end w:w="120" w:type="dxa"/>
            </w:tcMar>
          </w:tcPr>
          <w:p>
            <w:pPr>
              <w:spacing w:after="40"/>
              <w:jc w:val="center"/>
            </w:pPr>
            <w:r>
              <w:rPr>
                <w:b w:val="0"/>
                <w:sz w:val="18"/>
              </w:rPr>
              <w:t>FAIL (2/4)</w:t>
            </w:r>
          </w:p>
        </w:tc>
      </w:tr>
      <w:tr>
        <w:trPr>
          <w:cantSplit/>
        </w:trPr>
        <w:tc>
          <w:tcPr>
            <w:tcW w:type="dxa" w:w="2600"/>
            <w:vAlign w:val="center"/>
            <w:tcMar>
              <w:top w:w="80" w:type="dxa"/>
              <w:start w:w="120" w:type="dxa"/>
              <w:bottom w:w="80" w:type="dxa"/>
              <w:end w:w="120" w:type="dxa"/>
            </w:tcMar>
          </w:tcPr>
          <w:p>
            <w:pPr>
              <w:spacing w:after="40"/>
            </w:pPr>
            <w:r>
              <w:rPr>
                <w:b w:val="0"/>
                <w:sz w:val="18"/>
              </w:rPr>
              <w:t>Selection-aware null</w:t>
            </w:r>
          </w:p>
        </w:tc>
        <w:tc>
          <w:tcPr>
            <w:tcW w:type="dxa" w:w="2450"/>
            <w:vAlign w:val="center"/>
            <w:tcMar>
              <w:top w:w="80" w:type="dxa"/>
              <w:start w:w="120" w:type="dxa"/>
              <w:bottom w:w="80" w:type="dxa"/>
              <w:end w:w="120" w:type="dxa"/>
            </w:tcMar>
          </w:tcPr>
          <w:p>
            <w:pPr>
              <w:spacing w:after="40"/>
              <w:jc w:val="center"/>
            </w:pPr>
            <w:r>
              <w:rPr>
                <w:b w:val="0"/>
                <w:sz w:val="18"/>
              </w:rPr>
              <w:t>p = 0.00498</w:t>
            </w:r>
          </w:p>
        </w:tc>
        <w:tc>
          <w:tcPr>
            <w:tcW w:type="dxa" w:w="2200"/>
            <w:vAlign w:val="center"/>
            <w:tcMar>
              <w:top w:w="80" w:type="dxa"/>
              <w:start w:w="120" w:type="dxa"/>
              <w:bottom w:w="80" w:type="dxa"/>
              <w:end w:w="120" w:type="dxa"/>
            </w:tcMar>
          </w:tcPr>
          <w:p>
            <w:pPr>
              <w:spacing w:after="40"/>
              <w:jc w:val="center"/>
            </w:pPr>
            <w:r>
              <w:rPr>
                <w:b w:val="0"/>
                <w:sz w:val="18"/>
              </w:rPr>
              <w:t>p &lt; 0.05</w:t>
            </w:r>
          </w:p>
        </w:tc>
        <w:tc>
          <w:tcPr>
            <w:tcW w:type="dxa" w:w="2110"/>
            <w:vAlign w:val="center"/>
            <w:tcMar>
              <w:top w:w="80" w:type="dxa"/>
              <w:start w:w="120" w:type="dxa"/>
              <w:bottom w:w="80" w:type="dxa"/>
              <w:end w:w="120" w:type="dxa"/>
            </w:tcMar>
          </w:tcPr>
          <w:p>
            <w:pPr>
              <w:spacing w:after="40"/>
              <w:jc w:val="center"/>
            </w:pPr>
            <w:r>
              <w:rPr>
                <w:b w:val="0"/>
                <w:sz w:val="18"/>
              </w:rPr>
              <w:t>PASS</w:t>
            </w:r>
          </w:p>
        </w:tc>
      </w:tr>
      <w:tr>
        <w:trPr>
          <w:cantSplit/>
        </w:trPr>
        <w:tc>
          <w:tcPr>
            <w:tcW w:type="dxa" w:w="2600"/>
            <w:vAlign w:val="center"/>
            <w:tcMar>
              <w:top w:w="80" w:type="dxa"/>
              <w:start w:w="120" w:type="dxa"/>
              <w:bottom w:w="80" w:type="dxa"/>
              <w:end w:w="120" w:type="dxa"/>
            </w:tcMar>
          </w:tcPr>
          <w:p>
            <w:pPr>
              <w:spacing w:after="40"/>
            </w:pPr>
            <w:r>
              <w:rPr>
                <w:b w:val="0"/>
                <w:sz w:val="18"/>
              </w:rPr>
              <w:t>Generated marginals</w:t>
            </w:r>
          </w:p>
        </w:tc>
        <w:tc>
          <w:tcPr>
            <w:tcW w:type="dxa" w:w="2450"/>
            <w:vAlign w:val="center"/>
            <w:tcMar>
              <w:top w:w="80" w:type="dxa"/>
              <w:start w:w="120" w:type="dxa"/>
              <w:bottom w:w="80" w:type="dxa"/>
              <w:end w:w="120" w:type="dxa"/>
            </w:tcMar>
          </w:tcPr>
          <w:p>
            <w:pPr>
              <w:spacing w:after="40"/>
              <w:jc w:val="center"/>
            </w:pPr>
            <w:r>
              <w:rPr>
                <w:b w:val="0"/>
                <w:sz w:val="18"/>
              </w:rPr>
              <w:t>Mean JSD 0.02108</w:t>
            </w:r>
          </w:p>
        </w:tc>
        <w:tc>
          <w:tcPr>
            <w:tcW w:type="dxa" w:w="2200"/>
            <w:vAlign w:val="center"/>
            <w:tcMar>
              <w:top w:w="80" w:type="dxa"/>
              <w:start w:w="120" w:type="dxa"/>
              <w:bottom w:w="80" w:type="dxa"/>
              <w:end w:w="120" w:type="dxa"/>
            </w:tcMar>
          </w:tcPr>
          <w:p>
            <w:pPr>
              <w:spacing w:after="40"/>
              <w:jc w:val="center"/>
            </w:pPr>
            <w:r>
              <w:rPr>
                <w:b w:val="0"/>
                <w:sz w:val="18"/>
              </w:rPr>
              <w:t>JSD &lt; 0.10</w:t>
            </w:r>
          </w:p>
        </w:tc>
        <w:tc>
          <w:tcPr>
            <w:tcW w:type="dxa" w:w="2110"/>
            <w:vAlign w:val="center"/>
            <w:tcMar>
              <w:top w:w="80" w:type="dxa"/>
              <w:start w:w="120" w:type="dxa"/>
              <w:bottom w:w="80" w:type="dxa"/>
              <w:end w:w="120" w:type="dxa"/>
            </w:tcMar>
          </w:tcPr>
          <w:p>
            <w:pPr>
              <w:spacing w:after="40"/>
              <w:jc w:val="center"/>
            </w:pPr>
            <w:r>
              <w:rPr>
                <w:b w:val="0"/>
                <w:sz w:val="18"/>
              </w:rPr>
              <w:t>PASS</w:t>
            </w:r>
          </w:p>
        </w:tc>
      </w:tr>
    </w:tbl>
    <w:p>
      <w:pPr>
        <w:spacing w:after="0"/>
      </w:pPr>
    </w:p>
    <w:p>
      <w:pPr>
        <w:pStyle w:val="Heading1"/>
      </w:pPr>
      <w:r>
        <w:t>What was tested</w:t>
      </w:r>
    </w:p>
    <w:p>
      <w:r>
        <w:t>The v8.10 two-state surface anchors were frozen from each outer training set. The segment grammar then had to choose, using training data only, whether boundary state was needed for run length, BEFORE anchors, AFTER anchors, or emission behavior. Every retained dependency and every surface-mapper parameter was charged under BIC/MDL. The target contributor block was untouched until scoring.</w:t>
      </w:r>
    </w:p>
    <w:p>
      <w:r>
        <w:t>Two hundred null replicates destroyed the training associations while preserving the frozen anchor classes. Each null was allowed to repeat the same sparse feature selection before it was scored on the same untouched target blocks.</w:t>
      </w:r>
    </w:p>
    <w:p>
      <w:pPr>
        <w:pStyle w:val="Heading1"/>
        <w:pageBreakBefore/>
      </w:pPr>
      <w:r>
        <w:t>Held-out block results</w:t>
      </w:r>
    </w:p>
    <w:tbl>
      <w:tblPr>
        <w:tblStyle w:val="TableGrid"/>
        <w:tblW w:type="auto" w:w="0"/>
        <w:tblLayout w:type="fixed"/>
        <w:tblLook w:firstColumn="1" w:firstRow="1" w:lastColumn="0" w:lastRow="0" w:noHBand="0" w:noVBand="1" w:val="04A0"/>
        <w:tblW w:w="9360" w:type="dxa"/>
        <w:tblInd w:w="120" w:type="dxa"/>
      </w:tblPr>
      <w:tblGrid>
        <w:gridCol w:w="1000"/>
        <w:gridCol w:w="1100"/>
        <w:gridCol w:w="2500"/>
        <w:gridCol w:w="1900"/>
        <w:gridCol w:w="1430"/>
        <w:gridCol w:w="1430"/>
      </w:tblGrid>
      <w:tr>
        <w:trPr>
          <w:tblHeader w:val="true"/>
          <w:cantSplit/>
        </w:trPr>
        <w:tc>
          <w:tcPr>
            <w:tcW w:type="dxa" w:w="1000"/>
            <w:shd w:fill="F2F4F7"/>
            <w:vAlign w:val="center"/>
            <w:tcMar>
              <w:top w:w="80" w:type="dxa"/>
              <w:start w:w="120" w:type="dxa"/>
              <w:bottom w:w="80" w:type="dxa"/>
              <w:end w:w="120" w:type="dxa"/>
            </w:tcMar>
          </w:tcPr>
          <w:p>
            <w:pPr>
              <w:spacing w:after="40"/>
            </w:pPr>
            <w:r>
              <w:rPr>
                <w:b/>
                <w:sz w:val="16"/>
              </w:rPr>
              <w:t>Target</w:t>
            </w:r>
          </w:p>
        </w:tc>
        <w:tc>
          <w:tcPr>
            <w:tcW w:type="dxa" w:w="1100"/>
            <w:shd w:fill="F2F4F7"/>
            <w:vAlign w:val="center"/>
            <w:tcMar>
              <w:top w:w="80" w:type="dxa"/>
              <w:start w:w="120" w:type="dxa"/>
              <w:bottom w:w="80" w:type="dxa"/>
              <w:end w:w="120" w:type="dxa"/>
            </w:tcMar>
          </w:tcPr>
          <w:p>
            <w:pPr>
              <w:spacing w:after="40"/>
              <w:jc w:val="center"/>
            </w:pPr>
            <w:r>
              <w:rPr>
                <w:b/>
                <w:sz w:val="16"/>
              </w:rPr>
              <w:t>Segments</w:t>
            </w:r>
          </w:p>
        </w:tc>
        <w:tc>
          <w:tcPr>
            <w:tcW w:type="dxa" w:w="2500"/>
            <w:shd w:fill="F2F4F7"/>
            <w:vAlign w:val="center"/>
            <w:tcMar>
              <w:top w:w="80" w:type="dxa"/>
              <w:start w:w="120" w:type="dxa"/>
              <w:bottom w:w="80" w:type="dxa"/>
              <w:end w:w="120" w:type="dxa"/>
            </w:tcMar>
          </w:tcPr>
          <w:p>
            <w:pPr>
              <w:spacing w:after="40"/>
              <w:jc w:val="center"/>
            </w:pPr>
            <w:r>
              <w:rPr>
                <w:b/>
                <w:sz w:val="16"/>
              </w:rPr>
              <w:t>Count dependencies</w:t>
            </w:r>
          </w:p>
        </w:tc>
        <w:tc>
          <w:tcPr>
            <w:tcW w:type="dxa" w:w="1900"/>
            <w:shd w:fill="F2F4F7"/>
            <w:vAlign w:val="center"/>
            <w:tcMar>
              <w:top w:w="80" w:type="dxa"/>
              <w:start w:w="120" w:type="dxa"/>
              <w:bottom w:w="80" w:type="dxa"/>
              <w:end w:w="120" w:type="dxa"/>
            </w:tcMar>
          </w:tcPr>
          <w:p>
            <w:pPr>
              <w:spacing w:after="40"/>
              <w:jc w:val="center"/>
            </w:pPr>
            <w:r>
              <w:rPr>
                <w:b/>
                <w:sz w:val="16"/>
              </w:rPr>
              <w:t>Emission extras</w:t>
            </w:r>
          </w:p>
        </w:tc>
        <w:tc>
          <w:tcPr>
            <w:tcW w:type="dxa" w:w="1430"/>
            <w:shd w:fill="F2F4F7"/>
            <w:vAlign w:val="center"/>
            <w:tcMar>
              <w:top w:w="80" w:type="dxa"/>
              <w:start w:w="120" w:type="dxa"/>
              <w:bottom w:w="80" w:type="dxa"/>
              <w:end w:w="120" w:type="dxa"/>
            </w:tcMar>
          </w:tcPr>
          <w:p>
            <w:pPr>
              <w:spacing w:after="40"/>
              <w:jc w:val="center"/>
            </w:pPr>
            <w:r>
              <w:rPr>
                <w:b/>
                <w:sz w:val="16"/>
              </w:rPr>
              <w:t>Raw</w:t>
            </w:r>
          </w:p>
        </w:tc>
        <w:tc>
          <w:tcPr>
            <w:tcW w:type="dxa" w:w="1430"/>
            <w:shd w:fill="F2F4F7"/>
            <w:vAlign w:val="center"/>
            <w:tcMar>
              <w:top w:w="80" w:type="dxa"/>
              <w:start w:w="120" w:type="dxa"/>
              <w:bottom w:w="80" w:type="dxa"/>
              <w:end w:w="120" w:type="dxa"/>
            </w:tcMar>
          </w:tcPr>
          <w:p>
            <w:pPr>
              <w:spacing w:after="40"/>
              <w:jc w:val="center"/>
            </w:pPr>
            <w:r>
              <w:rPr>
                <w:b/>
                <w:sz w:val="16"/>
              </w:rPr>
              <w:t>MDL</w:t>
            </w:r>
          </w:p>
        </w:tc>
      </w:tr>
      <w:tr>
        <w:trPr>
          <w:cantSplit/>
        </w:trPr>
        <w:tc>
          <w:tcPr>
            <w:tcW w:type="dxa" w:w="1000"/>
            <w:vAlign w:val="center"/>
            <w:tcMar>
              <w:top w:w="80" w:type="dxa"/>
              <w:start w:w="120" w:type="dxa"/>
              <w:bottom w:w="80" w:type="dxa"/>
              <w:end w:w="120" w:type="dxa"/>
            </w:tcMar>
          </w:tcPr>
          <w:p>
            <w:pPr>
              <w:spacing w:after="40"/>
            </w:pPr>
            <w:r>
              <w:rPr>
                <w:b w:val="0"/>
                <w:sz w:val="16"/>
              </w:rPr>
              <w:t>G1-S1</w:t>
            </w:r>
          </w:p>
        </w:tc>
        <w:tc>
          <w:tcPr>
            <w:tcW w:type="dxa" w:w="1100"/>
            <w:vAlign w:val="center"/>
            <w:tcMar>
              <w:top w:w="80" w:type="dxa"/>
              <w:start w:w="120" w:type="dxa"/>
              <w:bottom w:w="80" w:type="dxa"/>
              <w:end w:w="120" w:type="dxa"/>
            </w:tcMar>
          </w:tcPr>
          <w:p>
            <w:pPr>
              <w:spacing w:after="40"/>
              <w:jc w:val="center"/>
            </w:pPr>
            <w:r>
              <w:rPr>
                <w:b w:val="0"/>
                <w:sz w:val="16"/>
              </w:rPr>
              <w:t>204</w:t>
            </w:r>
          </w:p>
        </w:tc>
        <w:tc>
          <w:tcPr>
            <w:tcW w:type="dxa" w:w="2500"/>
            <w:vAlign w:val="center"/>
            <w:tcMar>
              <w:top w:w="80" w:type="dxa"/>
              <w:start w:w="120" w:type="dxa"/>
              <w:bottom w:w="80" w:type="dxa"/>
              <w:end w:w="120" w:type="dxa"/>
            </w:tcMar>
          </w:tcPr>
          <w:p>
            <w:pPr>
              <w:spacing w:after="40"/>
              <w:jc w:val="center"/>
            </w:pPr>
            <w:r>
              <w:rPr>
                <w:b w:val="0"/>
                <w:sz w:val="16"/>
              </w:rPr>
              <w:t>after, before</w:t>
            </w:r>
          </w:p>
        </w:tc>
        <w:tc>
          <w:tcPr>
            <w:tcW w:type="dxa" w:w="1900"/>
            <w:vAlign w:val="center"/>
            <w:tcMar>
              <w:top w:w="80" w:type="dxa"/>
              <w:start w:w="120" w:type="dxa"/>
              <w:bottom w:w="80" w:type="dxa"/>
              <w:end w:w="120" w:type="dxa"/>
            </w:tcMar>
          </w:tcPr>
          <w:p>
            <w:pPr>
              <w:spacing w:after="40"/>
              <w:jc w:val="center"/>
            </w:pPr>
            <w:r>
              <w:rPr>
                <w:b w:val="0"/>
                <w:sz w:val="16"/>
              </w:rPr>
              <w:t>None</w:t>
            </w:r>
          </w:p>
        </w:tc>
        <w:tc>
          <w:tcPr>
            <w:tcW w:type="dxa" w:w="1430"/>
            <w:vAlign w:val="center"/>
            <w:tcMar>
              <w:top w:w="80" w:type="dxa"/>
              <w:start w:w="120" w:type="dxa"/>
              <w:bottom w:w="80" w:type="dxa"/>
              <w:end w:w="120" w:type="dxa"/>
            </w:tcMar>
          </w:tcPr>
          <w:p>
            <w:pPr>
              <w:spacing w:after="40"/>
              <w:jc w:val="center"/>
            </w:pPr>
            <w:r>
              <w:rPr>
                <w:b w:val="0"/>
                <w:sz w:val="16"/>
              </w:rPr>
              <w:t>+0.1492</w:t>
            </w:r>
          </w:p>
        </w:tc>
        <w:tc>
          <w:tcPr>
            <w:tcW w:type="dxa" w:w="1430"/>
            <w:vAlign w:val="center"/>
            <w:tcMar>
              <w:top w:w="80" w:type="dxa"/>
              <w:start w:w="120" w:type="dxa"/>
              <w:bottom w:w="80" w:type="dxa"/>
              <w:end w:w="120" w:type="dxa"/>
            </w:tcMar>
          </w:tcPr>
          <w:p>
            <w:pPr>
              <w:spacing w:after="40"/>
              <w:jc w:val="center"/>
            </w:pPr>
            <w:r>
              <w:rPr>
                <w:b w:val="0"/>
                <w:sz w:val="16"/>
              </w:rPr>
              <w:t>+0.0583</w:t>
            </w:r>
          </w:p>
        </w:tc>
      </w:tr>
      <w:tr>
        <w:trPr>
          <w:cantSplit/>
        </w:trPr>
        <w:tc>
          <w:tcPr>
            <w:tcW w:type="dxa" w:w="1000"/>
            <w:vAlign w:val="center"/>
            <w:tcMar>
              <w:top w:w="80" w:type="dxa"/>
              <w:start w:w="120" w:type="dxa"/>
              <w:bottom w:w="80" w:type="dxa"/>
              <w:end w:w="120" w:type="dxa"/>
            </w:tcMar>
          </w:tcPr>
          <w:p>
            <w:pPr>
              <w:spacing w:after="40"/>
            </w:pPr>
            <w:r>
              <w:rPr>
                <w:b w:val="0"/>
                <w:sz w:val="16"/>
              </w:rPr>
              <w:t>G1-S2</w:t>
            </w:r>
          </w:p>
        </w:tc>
        <w:tc>
          <w:tcPr>
            <w:tcW w:type="dxa" w:w="1100"/>
            <w:vAlign w:val="center"/>
            <w:tcMar>
              <w:top w:w="80" w:type="dxa"/>
              <w:start w:w="120" w:type="dxa"/>
              <w:bottom w:w="80" w:type="dxa"/>
              <w:end w:w="120" w:type="dxa"/>
            </w:tcMar>
          </w:tcPr>
          <w:p>
            <w:pPr>
              <w:spacing w:after="40"/>
              <w:jc w:val="center"/>
            </w:pPr>
            <w:r>
              <w:rPr>
                <w:b w:val="0"/>
                <w:sz w:val="16"/>
              </w:rPr>
              <w:t>331</w:t>
            </w:r>
          </w:p>
        </w:tc>
        <w:tc>
          <w:tcPr>
            <w:tcW w:type="dxa" w:w="2500"/>
            <w:vAlign w:val="center"/>
            <w:tcMar>
              <w:top w:w="80" w:type="dxa"/>
              <w:start w:w="120" w:type="dxa"/>
              <w:bottom w:w="80" w:type="dxa"/>
              <w:end w:w="120" w:type="dxa"/>
            </w:tcMar>
          </w:tcPr>
          <w:p>
            <w:pPr>
              <w:spacing w:after="40"/>
              <w:jc w:val="center"/>
            </w:pPr>
            <w:r>
              <w:rPr>
                <w:b w:val="0"/>
                <w:sz w:val="16"/>
              </w:rPr>
              <w:t>after, before</w:t>
            </w:r>
          </w:p>
        </w:tc>
        <w:tc>
          <w:tcPr>
            <w:tcW w:type="dxa" w:w="1900"/>
            <w:vAlign w:val="center"/>
            <w:tcMar>
              <w:top w:w="80" w:type="dxa"/>
              <w:start w:w="120" w:type="dxa"/>
              <w:bottom w:w="80" w:type="dxa"/>
              <w:end w:w="120" w:type="dxa"/>
            </w:tcMar>
          </w:tcPr>
          <w:p>
            <w:pPr>
              <w:spacing w:after="40"/>
              <w:jc w:val="center"/>
            </w:pPr>
            <w:r>
              <w:rPr>
                <w:b w:val="0"/>
                <w:sz w:val="16"/>
              </w:rPr>
              <w:t>None</w:t>
            </w:r>
          </w:p>
        </w:tc>
        <w:tc>
          <w:tcPr>
            <w:tcW w:type="dxa" w:w="1430"/>
            <w:vAlign w:val="center"/>
            <w:tcMar>
              <w:top w:w="80" w:type="dxa"/>
              <w:start w:w="120" w:type="dxa"/>
              <w:bottom w:w="80" w:type="dxa"/>
              <w:end w:w="120" w:type="dxa"/>
            </w:tcMar>
          </w:tcPr>
          <w:p>
            <w:pPr>
              <w:spacing w:after="40"/>
              <w:jc w:val="center"/>
            </w:pPr>
            <w:r>
              <w:rPr>
                <w:b w:val="0"/>
                <w:sz w:val="16"/>
              </w:rPr>
              <w:t>+0.1584</w:t>
            </w:r>
          </w:p>
        </w:tc>
        <w:tc>
          <w:tcPr>
            <w:tcW w:type="dxa" w:w="1430"/>
            <w:vAlign w:val="center"/>
            <w:tcMar>
              <w:top w:w="80" w:type="dxa"/>
              <w:start w:w="120" w:type="dxa"/>
              <w:bottom w:w="80" w:type="dxa"/>
              <w:end w:w="120" w:type="dxa"/>
            </w:tcMar>
          </w:tcPr>
          <w:p>
            <w:pPr>
              <w:spacing w:after="40"/>
              <w:jc w:val="center"/>
            </w:pPr>
            <w:r>
              <w:rPr>
                <w:b w:val="0"/>
                <w:sz w:val="16"/>
              </w:rPr>
              <w:t>+0.1048</w:t>
            </w:r>
          </w:p>
        </w:tc>
      </w:tr>
      <w:tr>
        <w:trPr>
          <w:cantSplit/>
        </w:trPr>
        <w:tc>
          <w:tcPr>
            <w:tcW w:type="dxa" w:w="1000"/>
            <w:vAlign w:val="center"/>
            <w:tcMar>
              <w:top w:w="80" w:type="dxa"/>
              <w:start w:w="120" w:type="dxa"/>
              <w:bottom w:w="80" w:type="dxa"/>
              <w:end w:w="120" w:type="dxa"/>
            </w:tcMar>
          </w:tcPr>
          <w:p>
            <w:pPr>
              <w:spacing w:after="40"/>
            </w:pPr>
            <w:r>
              <w:rPr>
                <w:b w:val="0"/>
                <w:sz w:val="16"/>
              </w:rPr>
              <w:t>G2-S1</w:t>
            </w:r>
          </w:p>
        </w:tc>
        <w:tc>
          <w:tcPr>
            <w:tcW w:type="dxa" w:w="1100"/>
            <w:vAlign w:val="center"/>
            <w:tcMar>
              <w:top w:w="80" w:type="dxa"/>
              <w:start w:w="120" w:type="dxa"/>
              <w:bottom w:w="80" w:type="dxa"/>
              <w:end w:w="120" w:type="dxa"/>
            </w:tcMar>
          </w:tcPr>
          <w:p>
            <w:pPr>
              <w:spacing w:after="40"/>
              <w:jc w:val="center"/>
            </w:pPr>
            <w:r>
              <w:rPr>
                <w:b w:val="0"/>
                <w:sz w:val="16"/>
              </w:rPr>
              <w:t>68</w:t>
            </w:r>
          </w:p>
        </w:tc>
        <w:tc>
          <w:tcPr>
            <w:tcW w:type="dxa" w:w="2500"/>
            <w:vAlign w:val="center"/>
            <w:tcMar>
              <w:top w:w="80" w:type="dxa"/>
              <w:start w:w="120" w:type="dxa"/>
              <w:bottom w:w="80" w:type="dxa"/>
              <w:end w:w="120" w:type="dxa"/>
            </w:tcMar>
          </w:tcPr>
          <w:p>
            <w:pPr>
              <w:spacing w:after="40"/>
              <w:jc w:val="center"/>
            </w:pPr>
            <w:r>
              <w:rPr>
                <w:b w:val="0"/>
                <w:sz w:val="16"/>
              </w:rPr>
              <w:t>after, before</w:t>
            </w:r>
          </w:p>
        </w:tc>
        <w:tc>
          <w:tcPr>
            <w:tcW w:type="dxa" w:w="1900"/>
            <w:vAlign w:val="center"/>
            <w:tcMar>
              <w:top w:w="80" w:type="dxa"/>
              <w:start w:w="120" w:type="dxa"/>
              <w:bottom w:w="80" w:type="dxa"/>
              <w:end w:w="120" w:type="dxa"/>
            </w:tcMar>
          </w:tcPr>
          <w:p>
            <w:pPr>
              <w:spacing w:after="40"/>
              <w:jc w:val="center"/>
            </w:pPr>
            <w:r>
              <w:rPr>
                <w:b w:val="0"/>
                <w:sz w:val="16"/>
              </w:rPr>
              <w:t>None</w:t>
            </w:r>
          </w:p>
        </w:tc>
        <w:tc>
          <w:tcPr>
            <w:tcW w:type="dxa" w:w="1430"/>
            <w:vAlign w:val="center"/>
            <w:tcMar>
              <w:top w:w="80" w:type="dxa"/>
              <w:start w:w="120" w:type="dxa"/>
              <w:bottom w:w="80" w:type="dxa"/>
              <w:end w:w="120" w:type="dxa"/>
            </w:tcMar>
          </w:tcPr>
          <w:p>
            <w:pPr>
              <w:spacing w:after="40"/>
              <w:jc w:val="center"/>
            </w:pPr>
            <w:r>
              <w:rPr>
                <w:b w:val="0"/>
                <w:sz w:val="16"/>
              </w:rPr>
              <w:t>+0.2054</w:t>
            </w:r>
          </w:p>
        </w:tc>
        <w:tc>
          <w:tcPr>
            <w:tcW w:type="dxa" w:w="1430"/>
            <w:vAlign w:val="center"/>
            <w:tcMar>
              <w:top w:w="80" w:type="dxa"/>
              <w:start w:w="120" w:type="dxa"/>
              <w:bottom w:w="80" w:type="dxa"/>
              <w:end w:w="120" w:type="dxa"/>
            </w:tcMar>
          </w:tcPr>
          <w:p>
            <w:pPr>
              <w:spacing w:after="40"/>
              <w:jc w:val="center"/>
            </w:pPr>
            <w:r>
              <w:rPr>
                <w:b w:val="0"/>
                <w:sz w:val="16"/>
              </w:rPr>
              <w:t>-0.0311</w:t>
            </w:r>
          </w:p>
        </w:tc>
      </w:tr>
      <w:tr>
        <w:trPr>
          <w:cantSplit/>
        </w:trPr>
        <w:tc>
          <w:tcPr>
            <w:tcW w:type="dxa" w:w="1000"/>
            <w:vAlign w:val="center"/>
            <w:tcMar>
              <w:top w:w="80" w:type="dxa"/>
              <w:start w:w="120" w:type="dxa"/>
              <w:bottom w:w="80" w:type="dxa"/>
              <w:end w:w="120" w:type="dxa"/>
            </w:tcMar>
          </w:tcPr>
          <w:p>
            <w:pPr>
              <w:spacing w:after="40"/>
            </w:pPr>
            <w:r>
              <w:rPr>
                <w:b w:val="0"/>
                <w:sz w:val="16"/>
              </w:rPr>
              <w:t>G2-S2</w:t>
            </w:r>
          </w:p>
        </w:tc>
        <w:tc>
          <w:tcPr>
            <w:tcW w:type="dxa" w:w="1100"/>
            <w:vAlign w:val="center"/>
            <w:tcMar>
              <w:top w:w="80" w:type="dxa"/>
              <w:start w:w="120" w:type="dxa"/>
              <w:bottom w:w="80" w:type="dxa"/>
              <w:end w:w="120" w:type="dxa"/>
            </w:tcMar>
          </w:tcPr>
          <w:p>
            <w:pPr>
              <w:spacing w:after="40"/>
              <w:jc w:val="center"/>
            </w:pPr>
            <w:r>
              <w:rPr>
                <w:b w:val="0"/>
                <w:sz w:val="16"/>
              </w:rPr>
              <w:t>84</w:t>
            </w:r>
          </w:p>
        </w:tc>
        <w:tc>
          <w:tcPr>
            <w:tcW w:type="dxa" w:w="2500"/>
            <w:vAlign w:val="center"/>
            <w:tcMar>
              <w:top w:w="80" w:type="dxa"/>
              <w:start w:w="120" w:type="dxa"/>
              <w:bottom w:w="80" w:type="dxa"/>
              <w:end w:w="120" w:type="dxa"/>
            </w:tcMar>
          </w:tcPr>
          <w:p>
            <w:pPr>
              <w:spacing w:after="40"/>
              <w:jc w:val="center"/>
            </w:pPr>
            <w:r>
              <w:rPr>
                <w:b w:val="0"/>
                <w:sz w:val="16"/>
              </w:rPr>
              <w:t>after, before</w:t>
            </w:r>
          </w:p>
        </w:tc>
        <w:tc>
          <w:tcPr>
            <w:tcW w:type="dxa" w:w="1900"/>
            <w:vAlign w:val="center"/>
            <w:tcMar>
              <w:top w:w="80" w:type="dxa"/>
              <w:start w:w="120" w:type="dxa"/>
              <w:bottom w:w="80" w:type="dxa"/>
              <w:end w:w="120" w:type="dxa"/>
            </w:tcMar>
          </w:tcPr>
          <w:p>
            <w:pPr>
              <w:spacing w:after="40"/>
              <w:jc w:val="center"/>
            </w:pPr>
            <w:r>
              <w:rPr>
                <w:b w:val="0"/>
                <w:sz w:val="16"/>
              </w:rPr>
              <w:t>after</w:t>
            </w:r>
          </w:p>
        </w:tc>
        <w:tc>
          <w:tcPr>
            <w:tcW w:type="dxa" w:w="1430"/>
            <w:vAlign w:val="center"/>
            <w:tcMar>
              <w:top w:w="80" w:type="dxa"/>
              <w:start w:w="120" w:type="dxa"/>
              <w:bottom w:w="80" w:type="dxa"/>
              <w:end w:w="120" w:type="dxa"/>
            </w:tcMar>
          </w:tcPr>
          <w:p>
            <w:pPr>
              <w:spacing w:after="40"/>
              <w:jc w:val="center"/>
            </w:pPr>
            <w:r>
              <w:rPr>
                <w:b w:val="0"/>
                <w:sz w:val="16"/>
              </w:rPr>
              <w:t>+0.1514</w:t>
            </w:r>
          </w:p>
        </w:tc>
        <w:tc>
          <w:tcPr>
            <w:tcW w:type="dxa" w:w="1430"/>
            <w:vAlign w:val="center"/>
            <w:tcMar>
              <w:top w:w="80" w:type="dxa"/>
              <w:start w:w="120" w:type="dxa"/>
              <w:bottom w:w="80" w:type="dxa"/>
              <w:end w:w="120" w:type="dxa"/>
            </w:tcMar>
          </w:tcPr>
          <w:p>
            <w:pPr>
              <w:spacing w:after="40"/>
              <w:jc w:val="center"/>
            </w:pPr>
            <w:r>
              <w:rPr>
                <w:b w:val="0"/>
                <w:sz w:val="16"/>
              </w:rPr>
              <w:t>-0.2305</w:t>
            </w:r>
          </w:p>
        </w:tc>
      </w:tr>
    </w:tbl>
    <w:p>
      <w:pPr>
        <w:spacing w:after="0"/>
      </w:pPr>
    </w:p>
    <w:p>
      <w:pPr>
        <w:pStyle w:val="Heading1"/>
      </w:pPr>
      <w:r>
        <w:t>Interpretation and next decision</w:t>
      </w:r>
    </w:p>
    <w:p>
      <w:pPr>
        <w:pStyle w:val="Heading1"/>
      </w:pPr>
      <w:r>
        <w:t>What the sparsity search found</w:t>
      </w:r>
    </w:p>
    <w:p>
      <w:r>
        <w:t>The same small count structure was selected in every fold: segment counts depended on the BEFORE and AFTER anchor classes. Boundary-conditioned run length was never retained. Emission behavior required no extra predictor in three blocks; only the G2-S2 training fold retained AFTER as an emission predictor. This is substantially simpler than the 84-parameter v8.10 grammar.</w:t>
      </w:r>
    </w:p>
    <w:p>
      <w:pPr>
        <w:pStyle w:val="Heading1"/>
      </w:pPr>
      <w:r>
        <w:t>Why G2 failed the strict gate</w:t>
      </w:r>
    </w:p>
    <w:p>
      <w:r>
        <w:t>G2-S1 and G2-S2 had only 68 and 84 held-out segments. Their raw gains were positive (+0.2054 and +0.1514), but the fixed mapper and grammar costs were large when spread over those smaller test samples. Their penalized gains became -0.0311 and -0.2305. In contrast, both larger G1 blocks stayed positive after penalty.</w:t>
      </w:r>
    </w:p>
    <w:p>
      <w:r>
        <w:t>That pattern is compatible with a real shared association plus insufficient evidence to amortize its deployment cost in the small G2 blocks. It is not permission to waive the gate: the preregistered portability claim required every block to pay for itself.</w:t>
      </w:r>
    </w:p>
    <w:p>
      <w:pPr>
        <w:pStyle w:val="Heading1"/>
      </w:pPr>
      <w:r>
        <w:t>Scientific conclusion</w:t>
      </w:r>
    </w:p>
    <w:p>
      <w:r>
        <w:t>v8.11 strengthens the evidence that compact BEFORE/AFTER anchor categories carry a portable statistical association. It does not establish a complete manuscript-wide grammar under the current MDL contract. The strongest defensible statement is: a low-dimensional segment association exists and beats selection-aware nulls, but its independent description-length support is presently confined to two of four contributor blocks.</w:t>
      </w:r>
    </w:p>
    <w:p>
      <w:pPr>
        <w:pStyle w:val="Heading2"/>
      </w:pPr>
      <w:r>
        <w:t>What this does not establish</w:t>
      </w:r>
    </w:p>
    <w:p>
      <w:r>
        <w:t>No plaintext, semantic meaning, language, cipher, author, historical group, mathematical compression scheme, or three-lock mechanism was tested or recovered. The result concerns statistical segment structure only.</w:t>
      </w:r>
    </w:p>
    <w:p>
      <w:pPr>
        <w:pStyle w:val="Heading1"/>
      </w:pPr>
      <w:r>
        <w:t>Next decisive test</w:t>
      </w:r>
    </w:p>
    <w:p>
      <w:r>
        <w:t>Freeze the exact 18-parameter count grammar selected in the three simplest folds—BEFORE and AFTER anchor dependence only—and perform a sample-size-matched transport test. Score equal numbers of held-out segments from every block, with the same frozen surface trees and no further feature search. Compare predictive gain per atom and learning curves as the training size increases.</w:t>
      </w:r>
    </w:p>
    <w:p>
      <w:r>
        <w:t>This separates two explanations that v8.11 cannot distinguish: (1) G2 genuinely uses a different segment mechanism, or (2) G2 shares the mechanism but is too small to amortize a fixed MDL charge. If equal-sized G1 and G2 samples show comparable raw learning curves, the failure is primarily sample-size accounting; if G2 remains systematically weaker, the grammar is block-conditional rather than universal.</w:t>
      </w:r>
    </w:p>
    <w:p>
      <w:pPr>
        <w:pStyle w:val="Heading2"/>
      </w:pPr>
      <w:r>
        <w:t>Sealed receipt</w:t>
      </w:r>
    </w:p>
    <w:p>
      <w:r>
        <w:t>Decision: SPARSE_GRAMMAR_DID_NOT_CLEAR_ALL_GATES</w:t>
      </w:r>
    </w:p>
    <w:p>
      <w:r>
        <w:t>Specification hash: 3b8fab4fae0d32a085906df664a91b03e306771c32d81695a1b65c14eeb3a478</w:t>
      </w:r>
    </w:p>
    <w:p>
      <w:r>
        <w:t>Terminal hash: ce7bd88adc1cf52a1493b556fc7d04f0743b8f850c01c2d13cd8ff4b285e09ee</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v8.11  |  17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77A"/>
        <w:sz w:val="18"/>
      </w:rPr>
      <w:t>ABAD ADAPTIVE ZD30  |  SPARSE MDL SEGMENT GRAMMAR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64" w:lineRule="auto"/>
    </w:pPr>
    <w:rPr>
      <w:rFonts w:ascii="Calibri" w:hAnsi="Calibri"/>
      <w:b w:val="0"/>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64" w:lineRule="auto"/>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line="264" w:lineRule="auto"/>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100" w:line="264" w:lineRule="auto" w:before="0"/>
      <w:contextualSpacing/>
    </w:pPr>
    <w:rPr>
      <w:rFonts w:asciiTheme="majorHAnsi" w:eastAsiaTheme="majorEastAsia" w:hAnsiTheme="majorHAnsi" w:cstheme="majorBidi" w:ascii="Calibri" w:hAnsi="Calibri"/>
      <w:b/>
      <w:color w:val="0B254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280" w:line="264" w:lineRule="auto"/>
    </w:pPr>
    <w:rPr>
      <w:rFonts w:asciiTheme="majorHAnsi" w:eastAsiaTheme="majorEastAsia" w:hAnsiTheme="majorHAnsi" w:cstheme="majorBidi" w:ascii="Calibri" w:hAnsi="Calibri"/>
      <w:b w:val="0"/>
      <w:i/>
      <w:iCs/>
      <w:color w:val="5B677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