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 PORTABLE FAMILY-TRANSITION SKELETON SURVIVES</w:t>
      </w:r>
    </w:p>
    <w:p>
      <w:pPr>
        <w:pStyle w:val="Subtitle"/>
      </w:pPr>
      <w:r>
        <w:t>Training-only selection of 20 directed prefix transitions inside frozen long ending-runs</w:t>
      </w:r>
    </w:p>
    <w:p>
      <w:r>
        <w:rPr>
          <w:b/>
          <w:color w:val="1F3A5F"/>
        </w:rPr>
        <w:t xml:space="preserve">DECISION  </w:t>
      </w:r>
      <w:r>
        <w:t>PASS. A small inventory of directed three-glyph-prefix transitions learned on training pages predicts untouched pages well above selection-aware nulls. The pooled rule also transfers across every contributor block, although the individually significant evidence is concentrated in G1.</w:t>
      </w:r>
    </w:p>
    <w:p>
      <w:pPr>
        <w:pStyle w:val="Heading1"/>
      </w:pPr>
      <w:r>
        <w:t>The exact question</w:t>
      </w:r>
    </w:p>
    <w:p>
      <w:r>
        <w:t>v8.30 established that related token families cluster inside long same-ending runs. v8.31 asks whether the particular family-to-family transitions are reusable rules rather than local repetitions. Only the 20 most frequent directed three-glyph-prefix transitions were selected on training data; the list was then frozen before scoring held-out pages.</w:t>
      </w:r>
    </w:p>
    <w:p>
      <w:pPr>
        <w:pStyle w:val="Heading1"/>
      </w:pPr>
      <w:r>
        <w:t>Matched control</w:t>
      </w:r>
    </w:p>
    <w:p>
      <w:r>
        <w:t>Each of 1,000 null replicates permuted token identities within page × final-glyph pools while preserving the full ending-run skeleton, page vocabulary multiset, token frequencies, line geometry, and contributor blocks. Crucially, every replicate repeated the complete top-20 transition search. The null therefore paid the same selection pressure as the observed model.</w:t>
      </w:r>
    </w:p>
    <w:p>
      <w:pPr>
        <w:pStyle w:val="Heading1"/>
      </w:pPr>
      <w:r>
        <w:t>Primary results</w:t>
      </w:r>
    </w:p>
    <w:tbl>
      <w:tblPr>
        <w:tblStyle w:val="TableGrid"/>
        <w:tblW w:type="auto" w:w="0"/>
        <w:tblLayout w:type="fixed"/>
        <w:tblLook w:firstColumn="1" w:firstRow="1" w:lastColumn="0" w:lastRow="0" w:noHBand="0" w:noVBand="1" w:val="04A0"/>
        <w:tblW w:w="9360" w:type="dxa"/>
        <w:tblInd w:w="120" w:type="dxa"/>
      </w:tblPr>
      <w:tblGrid>
        <w:gridCol w:w="2700"/>
        <w:gridCol w:w="1450"/>
        <w:gridCol w:w="1350"/>
        <w:gridCol w:w="1350"/>
        <w:gridCol w:w="1100"/>
        <w:gridCol w:w="1410"/>
      </w:tblGrid>
      <w:tr>
        <w:trPr>
          <w:tblHeader w:val="true"/>
          <w:cantSplit/>
        </w:trPr>
        <w:tc>
          <w:tcPr>
            <w:tcW w:type="dxa" w:w="2700"/>
            <w:shd w:fill="F2F4F7"/>
            <w:vAlign w:val="center"/>
            <w:tcMar>
              <w:top w:w="80" w:type="dxa"/>
              <w:start w:w="120" w:type="dxa"/>
              <w:bottom w:w="80" w:type="dxa"/>
              <w:end w:w="120" w:type="dxa"/>
            </w:tcMar>
          </w:tcPr>
          <w:p>
            <w:pPr>
              <w:spacing w:after="40"/>
            </w:pPr>
            <w:r>
              <w:rPr>
                <w:b/>
                <w:sz w:val="16"/>
              </w:rPr>
              <w:t>Evaluation</w:t>
            </w:r>
          </w:p>
        </w:tc>
        <w:tc>
          <w:tcPr>
            <w:tcW w:type="dxa" w:w="1450"/>
            <w:shd w:fill="F2F4F7"/>
            <w:vAlign w:val="center"/>
            <w:tcMar>
              <w:top w:w="80" w:type="dxa"/>
              <w:start w:w="120" w:type="dxa"/>
              <w:bottom w:w="80" w:type="dxa"/>
              <w:end w:w="120" w:type="dxa"/>
            </w:tcMar>
          </w:tcPr>
          <w:p>
            <w:pPr>
              <w:spacing w:after="40"/>
              <w:jc w:val="center"/>
            </w:pPr>
            <w:r>
              <w:rPr>
                <w:b/>
                <w:sz w:val="16"/>
              </w:rPr>
              <w:t>Observed hit rate</w:t>
            </w:r>
          </w:p>
        </w:tc>
        <w:tc>
          <w:tcPr>
            <w:tcW w:type="dxa" w:w="1350"/>
            <w:shd w:fill="F2F4F7"/>
            <w:vAlign w:val="center"/>
            <w:tcMar>
              <w:top w:w="80" w:type="dxa"/>
              <w:start w:w="120" w:type="dxa"/>
              <w:bottom w:w="80" w:type="dxa"/>
              <w:end w:w="120" w:type="dxa"/>
            </w:tcMar>
          </w:tcPr>
          <w:p>
            <w:pPr>
              <w:spacing w:after="40"/>
              <w:jc w:val="center"/>
            </w:pPr>
            <w:r>
              <w:rPr>
                <w:b/>
                <w:sz w:val="16"/>
              </w:rPr>
              <w:t>Null mean</w:t>
            </w:r>
          </w:p>
        </w:tc>
        <w:tc>
          <w:tcPr>
            <w:tcW w:type="dxa" w:w="1350"/>
            <w:shd w:fill="F2F4F7"/>
            <w:vAlign w:val="center"/>
            <w:tcMar>
              <w:top w:w="80" w:type="dxa"/>
              <w:start w:w="120" w:type="dxa"/>
              <w:bottom w:w="80" w:type="dxa"/>
              <w:end w:w="120" w:type="dxa"/>
            </w:tcMar>
          </w:tcPr>
          <w:p>
            <w:pPr>
              <w:spacing w:after="40"/>
              <w:jc w:val="center"/>
            </w:pPr>
            <w:r>
              <w:rPr>
                <w:b/>
                <w:sz w:val="16"/>
              </w:rPr>
              <w:t>Absolute lift</w:t>
            </w:r>
          </w:p>
        </w:tc>
        <w:tc>
          <w:tcPr>
            <w:tcW w:type="dxa" w:w="1100"/>
            <w:shd w:fill="F2F4F7"/>
            <w:vAlign w:val="center"/>
            <w:tcMar>
              <w:top w:w="80" w:type="dxa"/>
              <w:start w:w="120" w:type="dxa"/>
              <w:bottom w:w="80" w:type="dxa"/>
              <w:end w:w="120" w:type="dxa"/>
            </w:tcMar>
          </w:tcPr>
          <w:p>
            <w:pPr>
              <w:spacing w:after="40"/>
              <w:jc w:val="center"/>
            </w:pPr>
            <w:r>
              <w:rPr>
                <w:b/>
                <w:sz w:val="16"/>
              </w:rPr>
              <w:t>p</w:t>
            </w:r>
          </w:p>
        </w:tc>
        <w:tc>
          <w:tcPr>
            <w:tcW w:type="dxa" w:w="1410"/>
            <w:shd w:fill="F2F4F7"/>
            <w:vAlign w:val="center"/>
            <w:tcMar>
              <w:top w:w="80" w:type="dxa"/>
              <w:start w:w="120" w:type="dxa"/>
              <w:bottom w:w="80" w:type="dxa"/>
              <w:end w:w="120" w:type="dxa"/>
            </w:tcMar>
          </w:tcPr>
          <w:p>
            <w:pPr>
              <w:spacing w:after="40"/>
              <w:jc w:val="center"/>
            </w:pPr>
            <w:r>
              <w:rPr>
                <w:b/>
                <w:sz w:val="16"/>
              </w:rPr>
              <w:t>Replication</w:t>
            </w:r>
          </w:p>
        </w:tc>
      </w:tr>
      <w:tr>
        <w:trPr>
          <w:cantSplit/>
        </w:trPr>
        <w:tc>
          <w:tcPr>
            <w:tcW w:type="dxa" w:w="2700"/>
            <w:vAlign w:val="center"/>
            <w:tcMar>
              <w:top w:w="80" w:type="dxa"/>
              <w:start w:w="120" w:type="dxa"/>
              <w:bottom w:w="80" w:type="dxa"/>
              <w:end w:w="120" w:type="dxa"/>
            </w:tcMar>
          </w:tcPr>
          <w:p>
            <w:pPr>
              <w:spacing w:after="40"/>
            </w:pPr>
            <w:r>
              <w:rPr>
                <w:b w:val="0"/>
                <w:sz w:val="16"/>
              </w:rPr>
              <w:t>Five-fold held-out pages</w:t>
            </w:r>
          </w:p>
        </w:tc>
        <w:tc>
          <w:tcPr>
            <w:tcW w:type="dxa" w:w="1450"/>
            <w:vAlign w:val="center"/>
            <w:tcMar>
              <w:top w:w="80" w:type="dxa"/>
              <w:start w:w="120" w:type="dxa"/>
              <w:bottom w:w="80" w:type="dxa"/>
              <w:end w:w="120" w:type="dxa"/>
            </w:tcMar>
          </w:tcPr>
          <w:p>
            <w:pPr>
              <w:spacing w:after="40"/>
              <w:jc w:val="center"/>
            </w:pPr>
            <w:r>
              <w:rPr>
                <w:b w:val="0"/>
                <w:sz w:val="16"/>
              </w:rPr>
              <w:t>20.83%</w:t>
            </w:r>
          </w:p>
        </w:tc>
        <w:tc>
          <w:tcPr>
            <w:tcW w:type="dxa" w:w="1350"/>
            <w:vAlign w:val="center"/>
            <w:tcMar>
              <w:top w:w="80" w:type="dxa"/>
              <w:start w:w="120" w:type="dxa"/>
              <w:bottom w:w="80" w:type="dxa"/>
              <w:end w:w="120" w:type="dxa"/>
            </w:tcMar>
          </w:tcPr>
          <w:p>
            <w:pPr>
              <w:spacing w:after="40"/>
              <w:jc w:val="center"/>
            </w:pPr>
            <w:r>
              <w:rPr>
                <w:b w:val="0"/>
                <w:sz w:val="16"/>
              </w:rPr>
              <w:t>15.76%</w:t>
            </w:r>
          </w:p>
        </w:tc>
        <w:tc>
          <w:tcPr>
            <w:tcW w:type="dxa" w:w="1350"/>
            <w:vAlign w:val="center"/>
            <w:tcMar>
              <w:top w:w="80" w:type="dxa"/>
              <w:start w:w="120" w:type="dxa"/>
              <w:bottom w:w="80" w:type="dxa"/>
              <w:end w:w="120" w:type="dxa"/>
            </w:tcMar>
          </w:tcPr>
          <w:p>
            <w:pPr>
              <w:spacing w:after="40"/>
              <w:jc w:val="center"/>
            </w:pPr>
            <w:r>
              <w:rPr>
                <w:b w:val="0"/>
                <w:sz w:val="16"/>
              </w:rPr>
              <w:t>+5.07%</w:t>
            </w:r>
          </w:p>
        </w:tc>
        <w:tc>
          <w:tcPr>
            <w:tcW w:type="dxa" w:w="1100"/>
            <w:vAlign w:val="center"/>
            <w:tcMar>
              <w:top w:w="80" w:type="dxa"/>
              <w:start w:w="120" w:type="dxa"/>
              <w:bottom w:w="80" w:type="dxa"/>
              <w:end w:w="120" w:type="dxa"/>
            </w:tcMar>
          </w:tcPr>
          <w:p>
            <w:pPr>
              <w:spacing w:after="40"/>
              <w:jc w:val="center"/>
            </w:pPr>
            <w:r>
              <w:rPr>
                <w:b w:val="0"/>
                <w:sz w:val="16"/>
              </w:rPr>
              <w:t>0.000999</w:t>
            </w:r>
          </w:p>
        </w:tc>
        <w:tc>
          <w:tcPr>
            <w:tcW w:type="dxa" w:w="1410"/>
            <w:vAlign w:val="center"/>
            <w:tcMar>
              <w:top w:w="80" w:type="dxa"/>
              <w:start w:w="120" w:type="dxa"/>
              <w:bottom w:w="80" w:type="dxa"/>
              <w:end w:w="120" w:type="dxa"/>
            </w:tcMar>
          </w:tcPr>
          <w:p>
            <w:pPr>
              <w:spacing w:after="40"/>
              <w:jc w:val="center"/>
            </w:pPr>
            <w:r>
              <w:rPr>
                <w:b w:val="0"/>
                <w:sz w:val="16"/>
              </w:rPr>
              <w:t>5/5 folds</w:t>
            </w:r>
          </w:p>
        </w:tc>
      </w:tr>
      <w:tr>
        <w:trPr>
          <w:cantSplit/>
        </w:trPr>
        <w:tc>
          <w:tcPr>
            <w:tcW w:type="dxa" w:w="2700"/>
            <w:vAlign w:val="center"/>
            <w:tcMar>
              <w:top w:w="80" w:type="dxa"/>
              <w:start w:w="120" w:type="dxa"/>
              <w:bottom w:w="80" w:type="dxa"/>
              <w:end w:w="120" w:type="dxa"/>
            </w:tcMar>
          </w:tcPr>
          <w:p>
            <w:pPr>
              <w:spacing w:after="40"/>
            </w:pPr>
            <w:r>
              <w:rPr>
                <w:b w:val="0"/>
                <w:sz w:val="16"/>
              </w:rPr>
              <w:t>Leave-one-block-out</w:t>
            </w:r>
          </w:p>
        </w:tc>
        <w:tc>
          <w:tcPr>
            <w:tcW w:type="dxa" w:w="1450"/>
            <w:vAlign w:val="center"/>
            <w:tcMar>
              <w:top w:w="80" w:type="dxa"/>
              <w:start w:w="120" w:type="dxa"/>
              <w:bottom w:w="80" w:type="dxa"/>
              <w:end w:w="120" w:type="dxa"/>
            </w:tcMar>
          </w:tcPr>
          <w:p>
            <w:pPr>
              <w:spacing w:after="40"/>
              <w:jc w:val="center"/>
            </w:pPr>
            <w:r>
              <w:rPr>
                <w:b w:val="0"/>
                <w:sz w:val="16"/>
              </w:rPr>
              <w:t>19.52%</w:t>
            </w:r>
          </w:p>
        </w:tc>
        <w:tc>
          <w:tcPr>
            <w:tcW w:type="dxa" w:w="1350"/>
            <w:vAlign w:val="center"/>
            <w:tcMar>
              <w:top w:w="80" w:type="dxa"/>
              <w:start w:w="120" w:type="dxa"/>
              <w:bottom w:w="80" w:type="dxa"/>
              <w:end w:w="120" w:type="dxa"/>
            </w:tcMar>
          </w:tcPr>
          <w:p>
            <w:pPr>
              <w:spacing w:after="40"/>
              <w:jc w:val="center"/>
            </w:pPr>
            <w:r>
              <w:rPr>
                <w:b w:val="0"/>
                <w:sz w:val="16"/>
              </w:rPr>
              <w:t>13.35%</w:t>
            </w:r>
          </w:p>
        </w:tc>
        <w:tc>
          <w:tcPr>
            <w:tcW w:type="dxa" w:w="1350"/>
            <w:vAlign w:val="center"/>
            <w:tcMar>
              <w:top w:w="80" w:type="dxa"/>
              <w:start w:w="120" w:type="dxa"/>
              <w:bottom w:w="80" w:type="dxa"/>
              <w:end w:w="120" w:type="dxa"/>
            </w:tcMar>
          </w:tcPr>
          <w:p>
            <w:pPr>
              <w:spacing w:after="40"/>
              <w:jc w:val="center"/>
            </w:pPr>
            <w:r>
              <w:rPr>
                <w:b w:val="0"/>
                <w:sz w:val="16"/>
              </w:rPr>
              <w:t>+6.17%</w:t>
            </w:r>
          </w:p>
        </w:tc>
        <w:tc>
          <w:tcPr>
            <w:tcW w:type="dxa" w:w="1100"/>
            <w:vAlign w:val="center"/>
            <w:tcMar>
              <w:top w:w="80" w:type="dxa"/>
              <w:start w:w="120" w:type="dxa"/>
              <w:bottom w:w="80" w:type="dxa"/>
              <w:end w:w="120" w:type="dxa"/>
            </w:tcMar>
          </w:tcPr>
          <w:p>
            <w:pPr>
              <w:spacing w:after="40"/>
              <w:jc w:val="center"/>
            </w:pPr>
            <w:r>
              <w:rPr>
                <w:b w:val="0"/>
                <w:sz w:val="16"/>
              </w:rPr>
              <w:t>0.000999</w:t>
            </w:r>
          </w:p>
        </w:tc>
        <w:tc>
          <w:tcPr>
            <w:tcW w:type="dxa" w:w="1410"/>
            <w:vAlign w:val="center"/>
            <w:tcMar>
              <w:top w:w="80" w:type="dxa"/>
              <w:start w:w="120" w:type="dxa"/>
              <w:bottom w:w="80" w:type="dxa"/>
              <w:end w:w="120" w:type="dxa"/>
            </w:tcMar>
          </w:tcPr>
          <w:p>
            <w:pPr>
              <w:spacing w:after="40"/>
              <w:jc w:val="center"/>
            </w:pPr>
            <w:r>
              <w:rPr>
                <w:b w:val="0"/>
                <w:sz w:val="16"/>
              </w:rPr>
              <w:t>4/4 blocks</w:t>
            </w:r>
          </w:p>
        </w:tc>
      </w:tr>
    </w:tbl>
    <w:p>
      <w:pPr>
        <w:spacing w:after="0"/>
      </w:pPr>
    </w:p>
    <w:p>
      <w:r>
        <w:t>On page folds, the frozen rules captured 619 of 2,972 eligible long-run adjacencies (20.83%) versus 15.76% under the re-searching null. In leave-one-block-out transfer they captured 580 pairs (19.52%) versus 13.35% expected. Both selection-aware p-values equal 1/1001, the smallest attainable with 1,000 replicates.</w:t>
      </w:r>
    </w:p>
    <w:p>
      <w:pPr>
        <w:pStyle w:val="Heading1"/>
      </w:pPr>
      <w:r>
        <w:t>Contributor-block diagnostic</w:t>
      </w:r>
    </w:p>
    <w:tbl>
      <w:tblPr>
        <w:tblStyle w:val="TableGrid"/>
        <w:tblW w:type="auto" w:w="0"/>
        <w:tblLayout w:type="fixed"/>
        <w:tblLook w:firstColumn="1" w:firstRow="1" w:lastColumn="0" w:lastRow="0" w:noHBand="0" w:noVBand="1" w:val="04A0"/>
        <w:tblW w:w="9360" w:type="dxa"/>
        <w:tblInd w:w="120" w:type="dxa"/>
      </w:tblPr>
      <w:tblGrid>
        <w:gridCol w:w="1800"/>
        <w:gridCol w:w="1250"/>
        <w:gridCol w:w="1250"/>
        <w:gridCol w:w="1200"/>
        <w:gridCol w:w="1100"/>
        <w:gridCol w:w="2760"/>
      </w:tblGrid>
      <w:tr>
        <w:trPr>
          <w:tblHeader w:val="true"/>
          <w:cantSplit/>
        </w:trPr>
        <w:tc>
          <w:tcPr>
            <w:tcW w:type="dxa" w:w="1800"/>
            <w:shd w:fill="F2F4F7"/>
            <w:vAlign w:val="center"/>
            <w:tcMar>
              <w:top w:w="80" w:type="dxa"/>
              <w:start w:w="120" w:type="dxa"/>
              <w:bottom w:w="80" w:type="dxa"/>
              <w:end w:w="120" w:type="dxa"/>
            </w:tcMar>
          </w:tcPr>
          <w:p>
            <w:pPr>
              <w:spacing w:after="40"/>
            </w:pPr>
            <w:r>
              <w:rPr>
                <w:b/>
                <w:sz w:val="16"/>
              </w:rPr>
              <w:t>Held-out block</w:t>
            </w:r>
          </w:p>
        </w:tc>
        <w:tc>
          <w:tcPr>
            <w:tcW w:type="dxa" w:w="1250"/>
            <w:shd w:fill="F2F4F7"/>
            <w:vAlign w:val="center"/>
            <w:tcMar>
              <w:top w:w="80" w:type="dxa"/>
              <w:start w:w="120" w:type="dxa"/>
              <w:bottom w:w="80" w:type="dxa"/>
              <w:end w:w="120" w:type="dxa"/>
            </w:tcMar>
          </w:tcPr>
          <w:p>
            <w:pPr>
              <w:spacing w:after="40"/>
              <w:jc w:val="center"/>
            </w:pPr>
            <w:r>
              <w:rPr>
                <w:b/>
                <w:sz w:val="16"/>
              </w:rPr>
              <w:t>Observed</w:t>
            </w:r>
          </w:p>
        </w:tc>
        <w:tc>
          <w:tcPr>
            <w:tcW w:type="dxa" w:w="1250"/>
            <w:shd w:fill="F2F4F7"/>
            <w:vAlign w:val="center"/>
            <w:tcMar>
              <w:top w:w="80" w:type="dxa"/>
              <w:start w:w="120" w:type="dxa"/>
              <w:bottom w:w="80" w:type="dxa"/>
              <w:end w:w="120" w:type="dxa"/>
            </w:tcMar>
          </w:tcPr>
          <w:p>
            <w:pPr>
              <w:spacing w:after="40"/>
              <w:jc w:val="center"/>
            </w:pPr>
            <w:r>
              <w:rPr>
                <w:b/>
                <w:sz w:val="16"/>
              </w:rPr>
              <w:t>Null</w:t>
            </w:r>
          </w:p>
        </w:tc>
        <w:tc>
          <w:tcPr>
            <w:tcW w:type="dxa" w:w="1200"/>
            <w:shd w:fill="F2F4F7"/>
            <w:vAlign w:val="center"/>
            <w:tcMar>
              <w:top w:w="80" w:type="dxa"/>
              <w:start w:w="120" w:type="dxa"/>
              <w:bottom w:w="80" w:type="dxa"/>
              <w:end w:w="120" w:type="dxa"/>
            </w:tcMar>
          </w:tcPr>
          <w:p>
            <w:pPr>
              <w:spacing w:after="40"/>
              <w:jc w:val="center"/>
            </w:pPr>
            <w:r>
              <w:rPr>
                <w:b/>
                <w:sz w:val="16"/>
              </w:rPr>
              <w:t>Lift</w:t>
            </w:r>
          </w:p>
        </w:tc>
        <w:tc>
          <w:tcPr>
            <w:tcW w:type="dxa" w:w="1100"/>
            <w:shd w:fill="F2F4F7"/>
            <w:vAlign w:val="center"/>
            <w:tcMar>
              <w:top w:w="80" w:type="dxa"/>
              <w:start w:w="120" w:type="dxa"/>
              <w:bottom w:w="80" w:type="dxa"/>
              <w:end w:w="120" w:type="dxa"/>
            </w:tcMar>
          </w:tcPr>
          <w:p>
            <w:pPr>
              <w:spacing w:after="40"/>
              <w:jc w:val="center"/>
            </w:pPr>
            <w:r>
              <w:rPr>
                <w:b/>
                <w:sz w:val="16"/>
              </w:rPr>
              <w:t>p</w:t>
            </w:r>
          </w:p>
        </w:tc>
        <w:tc>
          <w:tcPr>
            <w:tcW w:type="dxa" w:w="2760"/>
            <w:shd w:fill="F2F4F7"/>
            <w:vAlign w:val="center"/>
            <w:tcMar>
              <w:top w:w="80" w:type="dxa"/>
              <w:start w:w="120" w:type="dxa"/>
              <w:bottom w:w="80" w:type="dxa"/>
              <w:end w:w="120" w:type="dxa"/>
            </w:tcMar>
          </w:tcPr>
          <w:p>
            <w:pPr>
              <w:spacing w:after="40"/>
              <w:jc w:val="center"/>
            </w:pPr>
            <w:r>
              <w:rPr>
                <w:b/>
                <w:sz w:val="16"/>
              </w:rPr>
              <w:t>Reading</w:t>
            </w:r>
          </w:p>
        </w:tc>
      </w:tr>
      <w:tr>
        <w:trPr>
          <w:cantSplit/>
        </w:trPr>
        <w:tc>
          <w:tcPr>
            <w:tcW w:type="dxa" w:w="1800"/>
            <w:vAlign w:val="center"/>
            <w:tcMar>
              <w:top w:w="80" w:type="dxa"/>
              <w:start w:w="120" w:type="dxa"/>
              <w:bottom w:w="80" w:type="dxa"/>
              <w:end w:w="120" w:type="dxa"/>
            </w:tcMar>
          </w:tcPr>
          <w:p>
            <w:pPr>
              <w:spacing w:after="40"/>
            </w:pPr>
            <w:r>
              <w:rPr>
                <w:b w:val="0"/>
                <w:sz w:val="16"/>
              </w:rPr>
              <w:t>G1-S1</w:t>
            </w:r>
          </w:p>
        </w:tc>
        <w:tc>
          <w:tcPr>
            <w:tcW w:type="dxa" w:w="1250"/>
            <w:vAlign w:val="center"/>
            <w:tcMar>
              <w:top w:w="80" w:type="dxa"/>
              <w:start w:w="120" w:type="dxa"/>
              <w:bottom w:w="80" w:type="dxa"/>
              <w:end w:w="120" w:type="dxa"/>
            </w:tcMar>
          </w:tcPr>
          <w:p>
            <w:pPr>
              <w:spacing w:after="40"/>
              <w:jc w:val="center"/>
            </w:pPr>
            <w:r>
              <w:rPr>
                <w:b w:val="0"/>
                <w:sz w:val="16"/>
              </w:rPr>
              <w:t>17.34%</w:t>
            </w:r>
          </w:p>
        </w:tc>
        <w:tc>
          <w:tcPr>
            <w:tcW w:type="dxa" w:w="1250"/>
            <w:vAlign w:val="center"/>
            <w:tcMar>
              <w:top w:w="80" w:type="dxa"/>
              <w:start w:w="120" w:type="dxa"/>
              <w:bottom w:w="80" w:type="dxa"/>
              <w:end w:w="120" w:type="dxa"/>
            </w:tcMar>
          </w:tcPr>
          <w:p>
            <w:pPr>
              <w:spacing w:after="40"/>
              <w:jc w:val="center"/>
            </w:pPr>
            <w:r>
              <w:rPr>
                <w:b w:val="0"/>
                <w:sz w:val="16"/>
              </w:rPr>
              <w:t>11.45%</w:t>
            </w:r>
          </w:p>
        </w:tc>
        <w:tc>
          <w:tcPr>
            <w:tcW w:type="dxa" w:w="1200"/>
            <w:vAlign w:val="center"/>
            <w:tcMar>
              <w:top w:w="80" w:type="dxa"/>
              <w:start w:w="120" w:type="dxa"/>
              <w:bottom w:w="80" w:type="dxa"/>
              <w:end w:w="120" w:type="dxa"/>
            </w:tcMar>
          </w:tcPr>
          <w:p>
            <w:pPr>
              <w:spacing w:after="40"/>
              <w:jc w:val="center"/>
            </w:pPr>
            <w:r>
              <w:rPr>
                <w:b w:val="0"/>
                <w:sz w:val="16"/>
              </w:rPr>
              <w:t>+5.89%</w:t>
            </w:r>
          </w:p>
        </w:tc>
        <w:tc>
          <w:tcPr>
            <w:tcW w:type="dxa" w:w="1100"/>
            <w:vAlign w:val="center"/>
            <w:tcMar>
              <w:top w:w="80" w:type="dxa"/>
              <w:start w:w="120" w:type="dxa"/>
              <w:bottom w:w="80" w:type="dxa"/>
              <w:end w:w="120" w:type="dxa"/>
            </w:tcMar>
          </w:tcPr>
          <w:p>
            <w:pPr>
              <w:spacing w:after="40"/>
              <w:jc w:val="center"/>
            </w:pPr>
            <w:r>
              <w:rPr>
                <w:b w:val="0"/>
                <w:sz w:val="16"/>
              </w:rPr>
              <w:t>0.0010</w:t>
            </w:r>
          </w:p>
        </w:tc>
        <w:tc>
          <w:tcPr>
            <w:tcW w:type="dxa" w:w="2760"/>
            <w:vAlign w:val="center"/>
            <w:tcMar>
              <w:top w:w="80" w:type="dxa"/>
              <w:start w:w="120" w:type="dxa"/>
              <w:bottom w:w="80" w:type="dxa"/>
              <w:end w:w="120" w:type="dxa"/>
            </w:tcMar>
          </w:tcPr>
          <w:p>
            <w:pPr>
              <w:spacing w:after="40"/>
              <w:jc w:val="center"/>
            </w:pPr>
            <w:r>
              <w:rPr>
                <w:b w:val="0"/>
                <w:sz w:val="16"/>
              </w:rPr>
              <w:t>Strong</w:t>
            </w:r>
          </w:p>
        </w:tc>
      </w:tr>
      <w:tr>
        <w:trPr>
          <w:cantSplit/>
        </w:trPr>
        <w:tc>
          <w:tcPr>
            <w:tcW w:type="dxa" w:w="1800"/>
            <w:vAlign w:val="center"/>
            <w:tcMar>
              <w:top w:w="80" w:type="dxa"/>
              <w:start w:w="120" w:type="dxa"/>
              <w:bottom w:w="80" w:type="dxa"/>
              <w:end w:w="120" w:type="dxa"/>
            </w:tcMar>
          </w:tcPr>
          <w:p>
            <w:pPr>
              <w:spacing w:after="40"/>
            </w:pPr>
            <w:r>
              <w:rPr>
                <w:b w:val="0"/>
                <w:sz w:val="16"/>
              </w:rPr>
              <w:t>G1-S2</w:t>
            </w:r>
          </w:p>
        </w:tc>
        <w:tc>
          <w:tcPr>
            <w:tcW w:type="dxa" w:w="1250"/>
            <w:vAlign w:val="center"/>
            <w:tcMar>
              <w:top w:w="80" w:type="dxa"/>
              <w:start w:w="120" w:type="dxa"/>
              <w:bottom w:w="80" w:type="dxa"/>
              <w:end w:w="120" w:type="dxa"/>
            </w:tcMar>
          </w:tcPr>
          <w:p>
            <w:pPr>
              <w:spacing w:after="40"/>
              <w:jc w:val="center"/>
            </w:pPr>
            <w:r>
              <w:rPr>
                <w:b w:val="0"/>
                <w:sz w:val="16"/>
              </w:rPr>
              <w:t>28.03%</w:t>
            </w:r>
          </w:p>
        </w:tc>
        <w:tc>
          <w:tcPr>
            <w:tcW w:type="dxa" w:w="1250"/>
            <w:vAlign w:val="center"/>
            <w:tcMar>
              <w:top w:w="80" w:type="dxa"/>
              <w:start w:w="120" w:type="dxa"/>
              <w:bottom w:w="80" w:type="dxa"/>
              <w:end w:w="120" w:type="dxa"/>
            </w:tcMar>
          </w:tcPr>
          <w:p>
            <w:pPr>
              <w:spacing w:after="40"/>
              <w:jc w:val="center"/>
            </w:pPr>
            <w:r>
              <w:rPr>
                <w:b w:val="0"/>
                <w:sz w:val="16"/>
              </w:rPr>
              <w:t>18.88%</w:t>
            </w:r>
          </w:p>
        </w:tc>
        <w:tc>
          <w:tcPr>
            <w:tcW w:type="dxa" w:w="1200"/>
            <w:vAlign w:val="center"/>
            <w:tcMar>
              <w:top w:w="80" w:type="dxa"/>
              <w:start w:w="120" w:type="dxa"/>
              <w:bottom w:w="80" w:type="dxa"/>
              <w:end w:w="120" w:type="dxa"/>
            </w:tcMar>
          </w:tcPr>
          <w:p>
            <w:pPr>
              <w:spacing w:after="40"/>
              <w:jc w:val="center"/>
            </w:pPr>
            <w:r>
              <w:rPr>
                <w:b w:val="0"/>
                <w:sz w:val="16"/>
              </w:rPr>
              <w:t>+9.14%</w:t>
            </w:r>
          </w:p>
        </w:tc>
        <w:tc>
          <w:tcPr>
            <w:tcW w:type="dxa" w:w="1100"/>
            <w:vAlign w:val="center"/>
            <w:tcMar>
              <w:top w:w="80" w:type="dxa"/>
              <w:start w:w="120" w:type="dxa"/>
              <w:bottom w:w="80" w:type="dxa"/>
              <w:end w:w="120" w:type="dxa"/>
            </w:tcMar>
          </w:tcPr>
          <w:p>
            <w:pPr>
              <w:spacing w:after="40"/>
              <w:jc w:val="center"/>
            </w:pPr>
            <w:r>
              <w:rPr>
                <w:b w:val="0"/>
                <w:sz w:val="16"/>
              </w:rPr>
              <w:t>0.0010</w:t>
            </w:r>
          </w:p>
        </w:tc>
        <w:tc>
          <w:tcPr>
            <w:tcW w:type="dxa" w:w="2760"/>
            <w:vAlign w:val="center"/>
            <w:tcMar>
              <w:top w:w="80" w:type="dxa"/>
              <w:start w:w="120" w:type="dxa"/>
              <w:bottom w:w="80" w:type="dxa"/>
              <w:end w:w="120" w:type="dxa"/>
            </w:tcMar>
          </w:tcPr>
          <w:p>
            <w:pPr>
              <w:spacing w:after="40"/>
              <w:jc w:val="center"/>
            </w:pPr>
            <w:r>
              <w:rPr>
                <w:b w:val="0"/>
                <w:sz w:val="16"/>
              </w:rPr>
              <w:t>Strong</w:t>
            </w:r>
          </w:p>
        </w:tc>
      </w:tr>
      <w:tr>
        <w:trPr>
          <w:cantSplit/>
        </w:trPr>
        <w:tc>
          <w:tcPr>
            <w:tcW w:type="dxa" w:w="1800"/>
            <w:vAlign w:val="center"/>
            <w:tcMar>
              <w:top w:w="80" w:type="dxa"/>
              <w:start w:w="120" w:type="dxa"/>
              <w:bottom w:w="80" w:type="dxa"/>
              <w:end w:w="120" w:type="dxa"/>
            </w:tcMar>
          </w:tcPr>
          <w:p>
            <w:pPr>
              <w:spacing w:after="40"/>
            </w:pPr>
            <w:r>
              <w:rPr>
                <w:b w:val="0"/>
                <w:sz w:val="16"/>
              </w:rPr>
              <w:t>G2-S1</w:t>
            </w:r>
          </w:p>
        </w:tc>
        <w:tc>
          <w:tcPr>
            <w:tcW w:type="dxa" w:w="1250"/>
            <w:vAlign w:val="center"/>
            <w:tcMar>
              <w:top w:w="80" w:type="dxa"/>
              <w:start w:w="120" w:type="dxa"/>
              <w:bottom w:w="80" w:type="dxa"/>
              <w:end w:w="120" w:type="dxa"/>
            </w:tcMar>
          </w:tcPr>
          <w:p>
            <w:pPr>
              <w:spacing w:after="40"/>
              <w:jc w:val="center"/>
            </w:pPr>
            <w:r>
              <w:rPr>
                <w:b w:val="0"/>
                <w:sz w:val="16"/>
              </w:rPr>
              <w:t>3.42%</w:t>
            </w:r>
          </w:p>
        </w:tc>
        <w:tc>
          <w:tcPr>
            <w:tcW w:type="dxa" w:w="1250"/>
            <w:vAlign w:val="center"/>
            <w:tcMar>
              <w:top w:w="80" w:type="dxa"/>
              <w:start w:w="120" w:type="dxa"/>
              <w:bottom w:w="80" w:type="dxa"/>
              <w:end w:w="120" w:type="dxa"/>
            </w:tcMar>
          </w:tcPr>
          <w:p>
            <w:pPr>
              <w:spacing w:after="40"/>
              <w:jc w:val="center"/>
            </w:pPr>
            <w:r>
              <w:rPr>
                <w:b w:val="0"/>
                <w:sz w:val="16"/>
              </w:rPr>
              <w:t>2.61%</w:t>
            </w:r>
          </w:p>
        </w:tc>
        <w:tc>
          <w:tcPr>
            <w:tcW w:type="dxa" w:w="1200"/>
            <w:vAlign w:val="center"/>
            <w:tcMar>
              <w:top w:w="80" w:type="dxa"/>
              <w:start w:w="120" w:type="dxa"/>
              <w:bottom w:w="80" w:type="dxa"/>
              <w:end w:w="120" w:type="dxa"/>
            </w:tcMar>
          </w:tcPr>
          <w:p>
            <w:pPr>
              <w:spacing w:after="40"/>
              <w:jc w:val="center"/>
            </w:pPr>
            <w:r>
              <w:rPr>
                <w:b w:val="0"/>
                <w:sz w:val="16"/>
              </w:rPr>
              <w:t>+0.81%</w:t>
            </w:r>
          </w:p>
        </w:tc>
        <w:tc>
          <w:tcPr>
            <w:tcW w:type="dxa" w:w="1100"/>
            <w:vAlign w:val="center"/>
            <w:tcMar>
              <w:top w:w="80" w:type="dxa"/>
              <w:start w:w="120" w:type="dxa"/>
              <w:bottom w:w="80" w:type="dxa"/>
              <w:end w:w="120" w:type="dxa"/>
            </w:tcMar>
          </w:tcPr>
          <w:p>
            <w:pPr>
              <w:spacing w:after="40"/>
              <w:jc w:val="center"/>
            </w:pPr>
            <w:r>
              <w:rPr>
                <w:b w:val="0"/>
                <w:sz w:val="16"/>
              </w:rPr>
              <w:t>0.2088</w:t>
            </w:r>
          </w:p>
        </w:tc>
        <w:tc>
          <w:tcPr>
            <w:tcW w:type="dxa" w:w="2760"/>
            <w:vAlign w:val="center"/>
            <w:tcMar>
              <w:top w:w="80" w:type="dxa"/>
              <w:start w:w="120" w:type="dxa"/>
              <w:bottom w:w="80" w:type="dxa"/>
              <w:end w:w="120" w:type="dxa"/>
            </w:tcMar>
          </w:tcPr>
          <w:p>
            <w:pPr>
              <w:spacing w:after="40"/>
              <w:jc w:val="center"/>
            </w:pPr>
            <w:r>
              <w:rPr>
                <w:b w:val="0"/>
                <w:sz w:val="16"/>
              </w:rPr>
              <w:t>Directional only</w:t>
            </w:r>
          </w:p>
        </w:tc>
      </w:tr>
      <w:tr>
        <w:trPr>
          <w:cantSplit/>
        </w:trPr>
        <w:tc>
          <w:tcPr>
            <w:tcW w:type="dxa" w:w="1800"/>
            <w:vAlign w:val="center"/>
            <w:tcMar>
              <w:top w:w="80" w:type="dxa"/>
              <w:start w:w="120" w:type="dxa"/>
              <w:bottom w:w="80" w:type="dxa"/>
              <w:end w:w="120" w:type="dxa"/>
            </w:tcMar>
          </w:tcPr>
          <w:p>
            <w:pPr>
              <w:spacing w:after="40"/>
            </w:pPr>
            <w:r>
              <w:rPr>
                <w:b w:val="0"/>
                <w:sz w:val="16"/>
              </w:rPr>
              <w:t>G2-S2</w:t>
            </w:r>
          </w:p>
        </w:tc>
        <w:tc>
          <w:tcPr>
            <w:tcW w:type="dxa" w:w="1250"/>
            <w:vAlign w:val="center"/>
            <w:tcMar>
              <w:top w:w="80" w:type="dxa"/>
              <w:start w:w="120" w:type="dxa"/>
              <w:bottom w:w="80" w:type="dxa"/>
              <w:end w:w="120" w:type="dxa"/>
            </w:tcMar>
          </w:tcPr>
          <w:p>
            <w:pPr>
              <w:spacing w:after="40"/>
              <w:jc w:val="center"/>
            </w:pPr>
            <w:r>
              <w:rPr>
                <w:b w:val="0"/>
                <w:sz w:val="16"/>
              </w:rPr>
              <w:t>8.65%</w:t>
            </w:r>
          </w:p>
        </w:tc>
        <w:tc>
          <w:tcPr>
            <w:tcW w:type="dxa" w:w="1250"/>
            <w:vAlign w:val="center"/>
            <w:tcMar>
              <w:top w:w="80" w:type="dxa"/>
              <w:start w:w="120" w:type="dxa"/>
              <w:bottom w:w="80" w:type="dxa"/>
              <w:end w:w="120" w:type="dxa"/>
            </w:tcMar>
          </w:tcPr>
          <w:p>
            <w:pPr>
              <w:spacing w:after="40"/>
              <w:jc w:val="center"/>
            </w:pPr>
            <w:r>
              <w:rPr>
                <w:b w:val="0"/>
                <w:sz w:val="16"/>
              </w:rPr>
              <w:t>7.68%</w:t>
            </w:r>
          </w:p>
        </w:tc>
        <w:tc>
          <w:tcPr>
            <w:tcW w:type="dxa" w:w="1200"/>
            <w:vAlign w:val="center"/>
            <w:tcMar>
              <w:top w:w="80" w:type="dxa"/>
              <w:start w:w="120" w:type="dxa"/>
              <w:bottom w:w="80" w:type="dxa"/>
              <w:end w:w="120" w:type="dxa"/>
            </w:tcMar>
          </w:tcPr>
          <w:p>
            <w:pPr>
              <w:spacing w:after="40"/>
              <w:jc w:val="center"/>
            </w:pPr>
            <w:r>
              <w:rPr>
                <w:b w:val="0"/>
                <w:sz w:val="16"/>
              </w:rPr>
              <w:t>+0.97%</w:t>
            </w:r>
          </w:p>
        </w:tc>
        <w:tc>
          <w:tcPr>
            <w:tcW w:type="dxa" w:w="1100"/>
            <w:vAlign w:val="center"/>
            <w:tcMar>
              <w:top w:w="80" w:type="dxa"/>
              <w:start w:w="120" w:type="dxa"/>
              <w:bottom w:w="80" w:type="dxa"/>
              <w:end w:w="120" w:type="dxa"/>
            </w:tcMar>
          </w:tcPr>
          <w:p>
            <w:pPr>
              <w:spacing w:after="40"/>
              <w:jc w:val="center"/>
            </w:pPr>
            <w:r>
              <w:rPr>
                <w:b w:val="0"/>
                <w:sz w:val="16"/>
              </w:rPr>
              <w:t>0.3017</w:t>
            </w:r>
          </w:p>
        </w:tc>
        <w:tc>
          <w:tcPr>
            <w:tcW w:type="dxa" w:w="2760"/>
            <w:vAlign w:val="center"/>
            <w:tcMar>
              <w:top w:w="80" w:type="dxa"/>
              <w:start w:w="120" w:type="dxa"/>
              <w:bottom w:w="80" w:type="dxa"/>
              <w:end w:w="120" w:type="dxa"/>
            </w:tcMar>
          </w:tcPr>
          <w:p>
            <w:pPr>
              <w:spacing w:after="40"/>
              <w:jc w:val="center"/>
            </w:pPr>
            <w:r>
              <w:rPr>
                <w:b w:val="0"/>
                <w:sz w:val="16"/>
              </w:rPr>
              <w:t>Directional only</w:t>
            </w:r>
          </w:p>
        </w:tc>
      </w:tr>
    </w:tbl>
    <w:p>
      <w:pPr>
        <w:spacing w:after="0"/>
      </w:pPr>
    </w:p>
    <w:p>
      <w:r>
        <w:t>The manuscript-wide gate passes because all four held-out blocks have positive lift and the pooled leave-one-block-out statistic is decisive. However, G2-S1 and G2-S2 do not independently clear p &lt; .05. This is evidence for a shared skeleton with uneven strength—not evidence that every block uses the rule equally.</w:t>
      </w:r>
    </w:p>
    <w:p>
      <w:pPr>
        <w:pStyle w:val="Heading1"/>
      </w:pPr>
      <w:r>
        <w:t>Stable transition inventory</w:t>
      </w:r>
    </w:p>
    <w:tbl>
      <w:tblPr>
        <w:tblStyle w:val="TableGrid"/>
        <w:tblW w:type="auto" w:w="0"/>
        <w:tblLayout w:type="fixed"/>
        <w:tblLook w:firstColumn="1" w:firstRow="1" w:lastColumn="0" w:lastRow="0" w:noHBand="0" w:noVBand="1" w:val="04A0"/>
        <w:tblW w:w="9360" w:type="dxa"/>
        <w:tblInd w:w="120" w:type="dxa"/>
      </w:tblPr>
      <w:tblGrid>
        <w:gridCol w:w="6900"/>
        <w:gridCol w:w="2460"/>
      </w:tblGrid>
      <w:tr>
        <w:trPr>
          <w:tblHeader w:val="true"/>
          <w:cantSplit/>
        </w:trPr>
        <w:tc>
          <w:tcPr>
            <w:tcW w:type="dxa" w:w="6900"/>
            <w:shd w:fill="F2F4F7"/>
            <w:vAlign w:val="center"/>
            <w:tcMar>
              <w:top w:w="80" w:type="dxa"/>
              <w:start w:w="120" w:type="dxa"/>
              <w:bottom w:w="80" w:type="dxa"/>
              <w:end w:w="120" w:type="dxa"/>
            </w:tcMar>
          </w:tcPr>
          <w:p>
            <w:pPr>
              <w:spacing w:after="40"/>
            </w:pPr>
            <w:r>
              <w:rPr>
                <w:b/>
                <w:sz w:val="16"/>
              </w:rPr>
              <w:t>Directed prefix transition</w:t>
            </w:r>
          </w:p>
        </w:tc>
        <w:tc>
          <w:tcPr>
            <w:tcW w:type="dxa" w:w="2460"/>
            <w:shd w:fill="F2F4F7"/>
            <w:vAlign w:val="center"/>
            <w:tcMar>
              <w:top w:w="80" w:type="dxa"/>
              <w:start w:w="120" w:type="dxa"/>
              <w:bottom w:w="80" w:type="dxa"/>
              <w:end w:w="120" w:type="dxa"/>
            </w:tcMar>
          </w:tcPr>
          <w:p>
            <w:pPr>
              <w:spacing w:after="40"/>
              <w:jc w:val="center"/>
            </w:pPr>
            <w:r>
              <w:rPr>
                <w:b/>
                <w:sz w:val="16"/>
              </w:rPr>
              <w:t>Selected folds</w:t>
            </w:r>
          </w:p>
        </w:tc>
      </w:tr>
      <w:tr>
        <w:trPr>
          <w:cantSplit/>
        </w:trPr>
        <w:tc>
          <w:tcPr>
            <w:tcW w:type="dxa" w:w="6900"/>
            <w:vAlign w:val="center"/>
            <w:tcMar>
              <w:top w:w="80" w:type="dxa"/>
              <w:start w:w="120" w:type="dxa"/>
              <w:bottom w:w="80" w:type="dxa"/>
              <w:end w:w="120" w:type="dxa"/>
            </w:tcMar>
          </w:tcPr>
          <w:p>
            <w:pPr>
              <w:spacing w:after="40"/>
            </w:pPr>
            <w:r>
              <w:rPr>
                <w:b w:val="0"/>
                <w:sz w:val="16"/>
              </w:rPr>
              <w:t>che&gt;che</w:t>
            </w:r>
          </w:p>
        </w:tc>
        <w:tc>
          <w:tcPr>
            <w:tcW w:type="dxa" w:w="2460"/>
            <w:vAlign w:val="center"/>
            <w:tcMar>
              <w:top w:w="80" w:type="dxa"/>
              <w:start w:w="120" w:type="dxa"/>
              <w:bottom w:w="80" w:type="dxa"/>
              <w:end w:w="120" w:type="dxa"/>
            </w:tcMar>
          </w:tcPr>
          <w:p>
            <w:pPr>
              <w:spacing w:after="40"/>
              <w:jc w:val="center"/>
            </w:pPr>
            <w:r>
              <w:rPr>
                <w:b w:val="0"/>
                <w:sz w:val="16"/>
              </w:rPr>
              <w:t>5</w:t>
            </w:r>
          </w:p>
        </w:tc>
      </w:tr>
      <w:tr>
        <w:trPr>
          <w:cantSplit/>
        </w:trPr>
        <w:tc>
          <w:tcPr>
            <w:tcW w:type="dxa" w:w="6900"/>
            <w:vAlign w:val="center"/>
            <w:tcMar>
              <w:top w:w="80" w:type="dxa"/>
              <w:start w:w="120" w:type="dxa"/>
              <w:bottom w:w="80" w:type="dxa"/>
              <w:end w:w="120" w:type="dxa"/>
            </w:tcMar>
          </w:tcPr>
          <w:p>
            <w:pPr>
              <w:spacing w:after="40"/>
            </w:pPr>
            <w:r>
              <w:rPr>
                <w:b w:val="0"/>
                <w:sz w:val="16"/>
              </w:rPr>
              <w:t>che&gt;qok</w:t>
            </w:r>
          </w:p>
        </w:tc>
        <w:tc>
          <w:tcPr>
            <w:tcW w:type="dxa" w:w="2460"/>
            <w:vAlign w:val="center"/>
            <w:tcMar>
              <w:top w:w="80" w:type="dxa"/>
              <w:start w:w="120" w:type="dxa"/>
              <w:bottom w:w="80" w:type="dxa"/>
              <w:end w:w="120" w:type="dxa"/>
            </w:tcMar>
          </w:tcPr>
          <w:p>
            <w:pPr>
              <w:spacing w:after="40"/>
              <w:jc w:val="center"/>
            </w:pPr>
            <w:r>
              <w:rPr>
                <w:b w:val="0"/>
                <w:sz w:val="16"/>
              </w:rPr>
              <w:t>5</w:t>
            </w:r>
          </w:p>
        </w:tc>
      </w:tr>
      <w:tr>
        <w:trPr>
          <w:cantSplit/>
        </w:trPr>
        <w:tc>
          <w:tcPr>
            <w:tcW w:type="dxa" w:w="6900"/>
            <w:vAlign w:val="center"/>
            <w:tcMar>
              <w:top w:w="80" w:type="dxa"/>
              <w:start w:w="120" w:type="dxa"/>
              <w:bottom w:w="80" w:type="dxa"/>
              <w:end w:w="120" w:type="dxa"/>
            </w:tcMar>
          </w:tcPr>
          <w:p>
            <w:pPr>
              <w:spacing w:after="40"/>
            </w:pPr>
            <w:r>
              <w:rPr>
                <w:b w:val="0"/>
                <w:sz w:val="16"/>
              </w:rPr>
              <w:t>lch&gt;qok</w:t>
            </w:r>
          </w:p>
        </w:tc>
        <w:tc>
          <w:tcPr>
            <w:tcW w:type="dxa" w:w="2460"/>
            <w:vAlign w:val="center"/>
            <w:tcMar>
              <w:top w:w="80" w:type="dxa"/>
              <w:start w:w="120" w:type="dxa"/>
              <w:bottom w:w="80" w:type="dxa"/>
              <w:end w:w="120" w:type="dxa"/>
            </w:tcMar>
          </w:tcPr>
          <w:p>
            <w:pPr>
              <w:spacing w:after="40"/>
              <w:jc w:val="center"/>
            </w:pPr>
            <w:r>
              <w:rPr>
                <w:b w:val="0"/>
                <w:sz w:val="16"/>
              </w:rPr>
              <w:t>5</w:t>
            </w:r>
          </w:p>
        </w:tc>
      </w:tr>
      <w:tr>
        <w:trPr>
          <w:cantSplit/>
        </w:trPr>
        <w:tc>
          <w:tcPr>
            <w:tcW w:type="dxa" w:w="6900"/>
            <w:vAlign w:val="center"/>
            <w:tcMar>
              <w:top w:w="80" w:type="dxa"/>
              <w:start w:w="120" w:type="dxa"/>
              <w:bottom w:w="80" w:type="dxa"/>
              <w:end w:w="120" w:type="dxa"/>
            </w:tcMar>
          </w:tcPr>
          <w:p>
            <w:pPr>
              <w:spacing w:after="40"/>
            </w:pPr>
            <w:r>
              <w:rPr>
                <w:b w:val="0"/>
                <w:sz w:val="16"/>
              </w:rPr>
              <w:t>oke&gt;oke</w:t>
            </w:r>
          </w:p>
        </w:tc>
        <w:tc>
          <w:tcPr>
            <w:tcW w:type="dxa" w:w="2460"/>
            <w:vAlign w:val="center"/>
            <w:tcMar>
              <w:top w:w="80" w:type="dxa"/>
              <w:start w:w="120" w:type="dxa"/>
              <w:bottom w:w="80" w:type="dxa"/>
              <w:end w:w="120" w:type="dxa"/>
            </w:tcMar>
          </w:tcPr>
          <w:p>
            <w:pPr>
              <w:spacing w:after="40"/>
              <w:jc w:val="center"/>
            </w:pPr>
            <w:r>
              <w:rPr>
                <w:b w:val="0"/>
                <w:sz w:val="16"/>
              </w:rPr>
              <w:t>5</w:t>
            </w:r>
          </w:p>
        </w:tc>
      </w:tr>
      <w:tr>
        <w:trPr>
          <w:cantSplit/>
        </w:trPr>
        <w:tc>
          <w:tcPr>
            <w:tcW w:type="dxa" w:w="6900"/>
            <w:vAlign w:val="center"/>
            <w:tcMar>
              <w:top w:w="80" w:type="dxa"/>
              <w:start w:w="120" w:type="dxa"/>
              <w:bottom w:w="80" w:type="dxa"/>
              <w:end w:w="120" w:type="dxa"/>
            </w:tcMar>
          </w:tcPr>
          <w:p>
            <w:pPr>
              <w:spacing w:after="40"/>
            </w:pPr>
            <w:r>
              <w:rPr>
                <w:b w:val="0"/>
                <w:sz w:val="16"/>
              </w:rPr>
              <w:t>oke&gt;qok</w:t>
            </w:r>
          </w:p>
        </w:tc>
        <w:tc>
          <w:tcPr>
            <w:tcW w:type="dxa" w:w="2460"/>
            <w:vAlign w:val="center"/>
            <w:tcMar>
              <w:top w:w="80" w:type="dxa"/>
              <w:start w:w="120" w:type="dxa"/>
              <w:bottom w:w="80" w:type="dxa"/>
              <w:end w:w="120" w:type="dxa"/>
            </w:tcMar>
          </w:tcPr>
          <w:p>
            <w:pPr>
              <w:spacing w:after="40"/>
              <w:jc w:val="center"/>
            </w:pPr>
            <w:r>
              <w:rPr>
                <w:b w:val="0"/>
                <w:sz w:val="16"/>
              </w:rPr>
              <w:t>5</w:t>
            </w:r>
          </w:p>
        </w:tc>
      </w:tr>
      <w:tr>
        <w:trPr>
          <w:cantSplit/>
        </w:trPr>
        <w:tc>
          <w:tcPr>
            <w:tcW w:type="dxa" w:w="6900"/>
            <w:vAlign w:val="center"/>
            <w:tcMar>
              <w:top w:w="80" w:type="dxa"/>
              <w:start w:w="120" w:type="dxa"/>
              <w:bottom w:w="80" w:type="dxa"/>
              <w:end w:w="120" w:type="dxa"/>
            </w:tcMar>
          </w:tcPr>
          <w:p>
            <w:pPr>
              <w:spacing w:after="40"/>
            </w:pPr>
            <w:r>
              <w:rPr>
                <w:b w:val="0"/>
                <w:sz w:val="16"/>
              </w:rPr>
              <w:t>ote&gt;qok</w:t>
            </w:r>
          </w:p>
        </w:tc>
        <w:tc>
          <w:tcPr>
            <w:tcW w:type="dxa" w:w="2460"/>
            <w:vAlign w:val="center"/>
            <w:tcMar>
              <w:top w:w="80" w:type="dxa"/>
              <w:start w:w="120" w:type="dxa"/>
              <w:bottom w:w="80" w:type="dxa"/>
              <w:end w:w="120" w:type="dxa"/>
            </w:tcMar>
          </w:tcPr>
          <w:p>
            <w:pPr>
              <w:spacing w:after="40"/>
              <w:jc w:val="center"/>
            </w:pPr>
            <w:r>
              <w:rPr>
                <w:b w:val="0"/>
                <w:sz w:val="16"/>
              </w:rPr>
              <w:t>5</w:t>
            </w:r>
          </w:p>
        </w:tc>
      </w:tr>
      <w:tr>
        <w:trPr>
          <w:cantSplit/>
        </w:trPr>
        <w:tc>
          <w:tcPr>
            <w:tcW w:type="dxa" w:w="6900"/>
            <w:vAlign w:val="center"/>
            <w:tcMar>
              <w:top w:w="80" w:type="dxa"/>
              <w:start w:w="120" w:type="dxa"/>
              <w:bottom w:w="80" w:type="dxa"/>
              <w:end w:w="120" w:type="dxa"/>
            </w:tcMar>
          </w:tcPr>
          <w:p>
            <w:pPr>
              <w:spacing w:after="40"/>
            </w:pPr>
            <w:r>
              <w:rPr>
                <w:b w:val="0"/>
                <w:sz w:val="16"/>
              </w:rPr>
              <w:t>qok&gt;che</w:t>
            </w:r>
          </w:p>
        </w:tc>
        <w:tc>
          <w:tcPr>
            <w:tcW w:type="dxa" w:w="2460"/>
            <w:vAlign w:val="center"/>
            <w:tcMar>
              <w:top w:w="80" w:type="dxa"/>
              <w:start w:w="120" w:type="dxa"/>
              <w:bottom w:w="80" w:type="dxa"/>
              <w:end w:w="120" w:type="dxa"/>
            </w:tcMar>
          </w:tcPr>
          <w:p>
            <w:pPr>
              <w:spacing w:after="40"/>
              <w:jc w:val="center"/>
            </w:pPr>
            <w:r>
              <w:rPr>
                <w:b w:val="0"/>
                <w:sz w:val="16"/>
              </w:rPr>
              <w:t>5</w:t>
            </w:r>
          </w:p>
        </w:tc>
      </w:tr>
      <w:tr>
        <w:trPr>
          <w:cantSplit/>
        </w:trPr>
        <w:tc>
          <w:tcPr>
            <w:tcW w:type="dxa" w:w="6900"/>
            <w:vAlign w:val="center"/>
            <w:tcMar>
              <w:top w:w="80" w:type="dxa"/>
              <w:start w:w="120" w:type="dxa"/>
              <w:bottom w:w="80" w:type="dxa"/>
              <w:end w:w="120" w:type="dxa"/>
            </w:tcMar>
          </w:tcPr>
          <w:p>
            <w:pPr>
              <w:spacing w:after="40"/>
            </w:pPr>
            <w:r>
              <w:rPr>
                <w:b w:val="0"/>
                <w:sz w:val="16"/>
              </w:rPr>
              <w:t>qok&gt;lch</w:t>
            </w:r>
          </w:p>
        </w:tc>
        <w:tc>
          <w:tcPr>
            <w:tcW w:type="dxa" w:w="2460"/>
            <w:vAlign w:val="center"/>
            <w:tcMar>
              <w:top w:w="80" w:type="dxa"/>
              <w:start w:w="120" w:type="dxa"/>
              <w:bottom w:w="80" w:type="dxa"/>
              <w:end w:w="120" w:type="dxa"/>
            </w:tcMar>
          </w:tcPr>
          <w:p>
            <w:pPr>
              <w:spacing w:after="40"/>
              <w:jc w:val="center"/>
            </w:pPr>
            <w:r>
              <w:rPr>
                <w:b w:val="0"/>
                <w:sz w:val="16"/>
              </w:rPr>
              <w:t>5</w:t>
            </w:r>
          </w:p>
        </w:tc>
      </w:tr>
      <w:tr>
        <w:trPr>
          <w:cantSplit/>
        </w:trPr>
        <w:tc>
          <w:tcPr>
            <w:tcW w:type="dxa" w:w="6900"/>
            <w:vAlign w:val="center"/>
            <w:tcMar>
              <w:top w:w="80" w:type="dxa"/>
              <w:start w:w="120" w:type="dxa"/>
              <w:bottom w:w="80" w:type="dxa"/>
              <w:end w:w="120" w:type="dxa"/>
            </w:tcMar>
          </w:tcPr>
          <w:p>
            <w:pPr>
              <w:spacing w:after="40"/>
            </w:pPr>
            <w:r>
              <w:rPr>
                <w:b w:val="0"/>
                <w:sz w:val="16"/>
              </w:rPr>
              <w:t>qok&gt;oke</w:t>
            </w:r>
          </w:p>
        </w:tc>
        <w:tc>
          <w:tcPr>
            <w:tcW w:type="dxa" w:w="2460"/>
            <w:vAlign w:val="center"/>
            <w:tcMar>
              <w:top w:w="80" w:type="dxa"/>
              <w:start w:w="120" w:type="dxa"/>
              <w:bottom w:w="80" w:type="dxa"/>
              <w:end w:w="120" w:type="dxa"/>
            </w:tcMar>
          </w:tcPr>
          <w:p>
            <w:pPr>
              <w:spacing w:after="40"/>
              <w:jc w:val="center"/>
            </w:pPr>
            <w:r>
              <w:rPr>
                <w:b w:val="0"/>
                <w:sz w:val="16"/>
              </w:rPr>
              <w:t>5</w:t>
            </w:r>
          </w:p>
        </w:tc>
      </w:tr>
      <w:tr>
        <w:trPr>
          <w:cantSplit/>
        </w:trPr>
        <w:tc>
          <w:tcPr>
            <w:tcW w:type="dxa" w:w="6900"/>
            <w:vAlign w:val="center"/>
            <w:tcMar>
              <w:top w:w="80" w:type="dxa"/>
              <w:start w:w="120" w:type="dxa"/>
              <w:bottom w:w="80" w:type="dxa"/>
              <w:end w:w="120" w:type="dxa"/>
            </w:tcMar>
          </w:tcPr>
          <w:p>
            <w:pPr>
              <w:spacing w:after="40"/>
            </w:pPr>
            <w:r>
              <w:rPr>
                <w:b w:val="0"/>
                <w:sz w:val="16"/>
              </w:rPr>
              <w:t>qok&gt;ote</w:t>
            </w:r>
          </w:p>
        </w:tc>
        <w:tc>
          <w:tcPr>
            <w:tcW w:type="dxa" w:w="2460"/>
            <w:vAlign w:val="center"/>
            <w:tcMar>
              <w:top w:w="80" w:type="dxa"/>
              <w:start w:w="120" w:type="dxa"/>
              <w:bottom w:w="80" w:type="dxa"/>
              <w:end w:w="120" w:type="dxa"/>
            </w:tcMar>
          </w:tcPr>
          <w:p>
            <w:pPr>
              <w:spacing w:after="40"/>
              <w:jc w:val="center"/>
            </w:pPr>
            <w:r>
              <w:rPr>
                <w:b w:val="0"/>
                <w:sz w:val="16"/>
              </w:rPr>
              <w:t>5</w:t>
            </w:r>
          </w:p>
        </w:tc>
      </w:tr>
      <w:tr>
        <w:trPr>
          <w:cantSplit/>
        </w:trPr>
        <w:tc>
          <w:tcPr>
            <w:tcW w:type="dxa" w:w="6900"/>
            <w:vAlign w:val="center"/>
            <w:tcMar>
              <w:top w:w="80" w:type="dxa"/>
              <w:start w:w="120" w:type="dxa"/>
              <w:bottom w:w="80" w:type="dxa"/>
              <w:end w:w="120" w:type="dxa"/>
            </w:tcMar>
          </w:tcPr>
          <w:p>
            <w:pPr>
              <w:spacing w:after="40"/>
            </w:pPr>
            <w:r>
              <w:rPr>
                <w:b w:val="0"/>
                <w:sz w:val="16"/>
              </w:rPr>
              <w:t>qok&gt;qok</w:t>
            </w:r>
          </w:p>
        </w:tc>
        <w:tc>
          <w:tcPr>
            <w:tcW w:type="dxa" w:w="2460"/>
            <w:vAlign w:val="center"/>
            <w:tcMar>
              <w:top w:w="80" w:type="dxa"/>
              <w:start w:w="120" w:type="dxa"/>
              <w:bottom w:w="80" w:type="dxa"/>
              <w:end w:w="120" w:type="dxa"/>
            </w:tcMar>
          </w:tcPr>
          <w:p>
            <w:pPr>
              <w:spacing w:after="40"/>
              <w:jc w:val="center"/>
            </w:pPr>
            <w:r>
              <w:rPr>
                <w:b w:val="0"/>
                <w:sz w:val="16"/>
              </w:rPr>
              <w:t>5</w:t>
            </w:r>
          </w:p>
        </w:tc>
      </w:tr>
      <w:tr>
        <w:trPr>
          <w:cantSplit/>
        </w:trPr>
        <w:tc>
          <w:tcPr>
            <w:tcW w:type="dxa" w:w="6900"/>
            <w:vAlign w:val="center"/>
            <w:tcMar>
              <w:top w:w="80" w:type="dxa"/>
              <w:start w:w="120" w:type="dxa"/>
              <w:bottom w:w="80" w:type="dxa"/>
              <w:end w:w="120" w:type="dxa"/>
            </w:tcMar>
          </w:tcPr>
          <w:p>
            <w:pPr>
              <w:spacing w:after="40"/>
            </w:pPr>
            <w:r>
              <w:rPr>
                <w:b w:val="0"/>
                <w:sz w:val="16"/>
              </w:rPr>
              <w:t>qok&gt;qot</w:t>
            </w:r>
          </w:p>
        </w:tc>
        <w:tc>
          <w:tcPr>
            <w:tcW w:type="dxa" w:w="2460"/>
            <w:vAlign w:val="center"/>
            <w:tcMar>
              <w:top w:w="80" w:type="dxa"/>
              <w:start w:w="120" w:type="dxa"/>
              <w:bottom w:w="80" w:type="dxa"/>
              <w:end w:w="120" w:type="dxa"/>
            </w:tcMar>
          </w:tcPr>
          <w:p>
            <w:pPr>
              <w:spacing w:after="40"/>
              <w:jc w:val="center"/>
            </w:pPr>
            <w:r>
              <w:rPr>
                <w:b w:val="0"/>
                <w:sz w:val="16"/>
              </w:rPr>
              <w:t>5</w:t>
            </w:r>
          </w:p>
        </w:tc>
      </w:tr>
      <w:tr>
        <w:trPr>
          <w:cantSplit/>
        </w:trPr>
        <w:tc>
          <w:tcPr>
            <w:tcW w:type="dxa" w:w="6900"/>
            <w:vAlign w:val="center"/>
            <w:tcMar>
              <w:top w:w="80" w:type="dxa"/>
              <w:start w:w="120" w:type="dxa"/>
              <w:bottom w:w="80" w:type="dxa"/>
              <w:end w:w="120" w:type="dxa"/>
            </w:tcMar>
          </w:tcPr>
          <w:p>
            <w:pPr>
              <w:spacing w:after="40"/>
            </w:pPr>
            <w:r>
              <w:rPr>
                <w:b w:val="0"/>
                <w:sz w:val="16"/>
              </w:rPr>
              <w:t>qok&gt;she</w:t>
            </w:r>
          </w:p>
        </w:tc>
        <w:tc>
          <w:tcPr>
            <w:tcW w:type="dxa" w:w="2460"/>
            <w:vAlign w:val="center"/>
            <w:tcMar>
              <w:top w:w="80" w:type="dxa"/>
              <w:start w:w="120" w:type="dxa"/>
              <w:bottom w:w="80" w:type="dxa"/>
              <w:end w:w="120" w:type="dxa"/>
            </w:tcMar>
          </w:tcPr>
          <w:p>
            <w:pPr>
              <w:spacing w:after="40"/>
              <w:jc w:val="center"/>
            </w:pPr>
            <w:r>
              <w:rPr>
                <w:b w:val="0"/>
                <w:sz w:val="16"/>
              </w:rPr>
              <w:t>5</w:t>
            </w:r>
          </w:p>
        </w:tc>
      </w:tr>
      <w:tr>
        <w:trPr>
          <w:cantSplit/>
        </w:trPr>
        <w:tc>
          <w:tcPr>
            <w:tcW w:type="dxa" w:w="6900"/>
            <w:vAlign w:val="center"/>
            <w:tcMar>
              <w:top w:w="80" w:type="dxa"/>
              <w:start w:w="120" w:type="dxa"/>
              <w:bottom w:w="80" w:type="dxa"/>
              <w:end w:w="120" w:type="dxa"/>
            </w:tcMar>
          </w:tcPr>
          <w:p>
            <w:pPr>
              <w:spacing w:after="40"/>
            </w:pPr>
            <w:r>
              <w:rPr>
                <w:b w:val="0"/>
                <w:sz w:val="16"/>
              </w:rPr>
              <w:t>qot&gt;qok</w:t>
            </w:r>
          </w:p>
        </w:tc>
        <w:tc>
          <w:tcPr>
            <w:tcW w:type="dxa" w:w="2460"/>
            <w:vAlign w:val="center"/>
            <w:tcMar>
              <w:top w:w="80" w:type="dxa"/>
              <w:start w:w="120" w:type="dxa"/>
              <w:bottom w:w="80" w:type="dxa"/>
              <w:end w:w="120" w:type="dxa"/>
            </w:tcMar>
          </w:tcPr>
          <w:p>
            <w:pPr>
              <w:spacing w:after="40"/>
              <w:jc w:val="center"/>
            </w:pPr>
            <w:r>
              <w:rPr>
                <w:b w:val="0"/>
                <w:sz w:val="16"/>
              </w:rPr>
              <w:t>5</w:t>
            </w:r>
          </w:p>
        </w:tc>
      </w:tr>
      <w:tr>
        <w:trPr>
          <w:cantSplit/>
        </w:trPr>
        <w:tc>
          <w:tcPr>
            <w:tcW w:type="dxa" w:w="6900"/>
            <w:vAlign w:val="center"/>
            <w:tcMar>
              <w:top w:w="80" w:type="dxa"/>
              <w:start w:w="120" w:type="dxa"/>
              <w:bottom w:w="80" w:type="dxa"/>
              <w:end w:w="120" w:type="dxa"/>
            </w:tcMar>
          </w:tcPr>
          <w:p>
            <w:pPr>
              <w:spacing w:after="40"/>
            </w:pPr>
            <w:r>
              <w:rPr>
                <w:b w:val="0"/>
                <w:sz w:val="16"/>
              </w:rPr>
              <w:t>she&gt;qok</w:t>
            </w:r>
          </w:p>
        </w:tc>
        <w:tc>
          <w:tcPr>
            <w:tcW w:type="dxa" w:w="2460"/>
            <w:vAlign w:val="center"/>
            <w:tcMar>
              <w:top w:w="80" w:type="dxa"/>
              <w:start w:w="120" w:type="dxa"/>
              <w:bottom w:w="80" w:type="dxa"/>
              <w:end w:w="120" w:type="dxa"/>
            </w:tcMar>
          </w:tcPr>
          <w:p>
            <w:pPr>
              <w:spacing w:after="40"/>
              <w:jc w:val="center"/>
            </w:pPr>
            <w:r>
              <w:rPr>
                <w:b w:val="0"/>
                <w:sz w:val="16"/>
              </w:rPr>
              <w:t>5</w:t>
            </w:r>
          </w:p>
        </w:tc>
      </w:tr>
      <w:tr>
        <w:trPr>
          <w:cantSplit/>
        </w:trPr>
        <w:tc>
          <w:tcPr>
            <w:tcW w:type="dxa" w:w="6900"/>
            <w:vAlign w:val="center"/>
            <w:tcMar>
              <w:top w:w="80" w:type="dxa"/>
              <w:start w:w="120" w:type="dxa"/>
              <w:bottom w:w="80" w:type="dxa"/>
              <w:end w:w="120" w:type="dxa"/>
            </w:tcMar>
          </w:tcPr>
          <w:p>
            <w:pPr>
              <w:spacing w:after="40"/>
            </w:pPr>
            <w:r>
              <w:rPr>
                <w:b w:val="0"/>
                <w:sz w:val="16"/>
              </w:rPr>
              <w:t>she&gt;qot</w:t>
            </w:r>
          </w:p>
        </w:tc>
        <w:tc>
          <w:tcPr>
            <w:tcW w:type="dxa" w:w="2460"/>
            <w:vAlign w:val="center"/>
            <w:tcMar>
              <w:top w:w="80" w:type="dxa"/>
              <w:start w:w="120" w:type="dxa"/>
              <w:bottom w:w="80" w:type="dxa"/>
              <w:end w:w="120" w:type="dxa"/>
            </w:tcMar>
          </w:tcPr>
          <w:p>
            <w:pPr>
              <w:spacing w:after="40"/>
              <w:jc w:val="center"/>
            </w:pPr>
            <w:r>
              <w:rPr>
                <w:b w:val="0"/>
                <w:sz w:val="16"/>
              </w:rPr>
              <w:t>5</w:t>
            </w:r>
          </w:p>
        </w:tc>
      </w:tr>
      <w:tr>
        <w:trPr>
          <w:cantSplit/>
        </w:trPr>
        <w:tc>
          <w:tcPr>
            <w:tcW w:type="dxa" w:w="6900"/>
            <w:vAlign w:val="center"/>
            <w:tcMar>
              <w:top w:w="80" w:type="dxa"/>
              <w:start w:w="120" w:type="dxa"/>
              <w:bottom w:w="80" w:type="dxa"/>
              <w:end w:w="120" w:type="dxa"/>
            </w:tcMar>
          </w:tcPr>
          <w:p>
            <w:pPr>
              <w:spacing w:after="40"/>
            </w:pPr>
            <w:r>
              <w:rPr>
                <w:b w:val="0"/>
                <w:sz w:val="16"/>
              </w:rPr>
              <w:t>che&gt;oke</w:t>
            </w:r>
          </w:p>
        </w:tc>
        <w:tc>
          <w:tcPr>
            <w:tcW w:type="dxa" w:w="2460"/>
            <w:vAlign w:val="center"/>
            <w:tcMar>
              <w:top w:w="80" w:type="dxa"/>
              <w:start w:w="120" w:type="dxa"/>
              <w:bottom w:w="80" w:type="dxa"/>
              <w:end w:w="120" w:type="dxa"/>
            </w:tcMar>
          </w:tcPr>
          <w:p>
            <w:pPr>
              <w:spacing w:after="40"/>
              <w:jc w:val="center"/>
            </w:pPr>
            <w:r>
              <w:rPr>
                <w:b w:val="0"/>
                <w:sz w:val="16"/>
              </w:rPr>
              <w:t>3</w:t>
            </w:r>
          </w:p>
        </w:tc>
      </w:tr>
      <w:tr>
        <w:trPr>
          <w:cantSplit/>
        </w:trPr>
        <w:tc>
          <w:tcPr>
            <w:tcW w:type="dxa" w:w="6900"/>
            <w:vAlign w:val="center"/>
            <w:tcMar>
              <w:top w:w="80" w:type="dxa"/>
              <w:start w:w="120" w:type="dxa"/>
              <w:bottom w:w="80" w:type="dxa"/>
              <w:end w:w="120" w:type="dxa"/>
            </w:tcMar>
          </w:tcPr>
          <w:p>
            <w:pPr>
              <w:spacing w:after="40"/>
            </w:pPr>
            <w:r>
              <w:rPr>
                <w:b w:val="0"/>
                <w:sz w:val="16"/>
              </w:rPr>
              <w:t>oke&gt;che</w:t>
            </w:r>
          </w:p>
        </w:tc>
        <w:tc>
          <w:tcPr>
            <w:tcW w:type="dxa" w:w="2460"/>
            <w:vAlign w:val="center"/>
            <w:tcMar>
              <w:top w:w="80" w:type="dxa"/>
              <w:start w:w="120" w:type="dxa"/>
              <w:bottom w:w="80" w:type="dxa"/>
              <w:end w:w="120" w:type="dxa"/>
            </w:tcMar>
          </w:tcPr>
          <w:p>
            <w:pPr>
              <w:spacing w:after="40"/>
              <w:jc w:val="center"/>
            </w:pPr>
            <w:r>
              <w:rPr>
                <w:b w:val="0"/>
                <w:sz w:val="16"/>
              </w:rPr>
              <w:t>3</w:t>
            </w:r>
          </w:p>
        </w:tc>
      </w:tr>
      <w:tr>
        <w:trPr>
          <w:cantSplit/>
        </w:trPr>
        <w:tc>
          <w:tcPr>
            <w:tcW w:type="dxa" w:w="6900"/>
            <w:vAlign w:val="center"/>
            <w:tcMar>
              <w:top w:w="80" w:type="dxa"/>
              <w:start w:w="120" w:type="dxa"/>
              <w:bottom w:w="80" w:type="dxa"/>
              <w:end w:w="120" w:type="dxa"/>
            </w:tcMar>
          </w:tcPr>
          <w:p>
            <w:pPr>
              <w:spacing w:after="40"/>
            </w:pPr>
            <w:r>
              <w:rPr>
                <w:b w:val="0"/>
                <w:sz w:val="16"/>
              </w:rPr>
              <w:t>qok&gt;cho</w:t>
            </w:r>
          </w:p>
        </w:tc>
        <w:tc>
          <w:tcPr>
            <w:tcW w:type="dxa" w:w="2460"/>
            <w:vAlign w:val="center"/>
            <w:tcMar>
              <w:top w:w="80" w:type="dxa"/>
              <w:start w:w="120" w:type="dxa"/>
              <w:bottom w:w="80" w:type="dxa"/>
              <w:end w:w="120" w:type="dxa"/>
            </w:tcMar>
          </w:tcPr>
          <w:p>
            <w:pPr>
              <w:spacing w:after="40"/>
              <w:jc w:val="center"/>
            </w:pPr>
            <w:r>
              <w:rPr>
                <w:b w:val="0"/>
                <w:sz w:val="16"/>
              </w:rPr>
              <w:t>3</w:t>
            </w:r>
          </w:p>
        </w:tc>
      </w:tr>
      <w:tr>
        <w:trPr>
          <w:cantSplit/>
        </w:trPr>
        <w:tc>
          <w:tcPr>
            <w:tcW w:type="dxa" w:w="6900"/>
            <w:vAlign w:val="center"/>
            <w:tcMar>
              <w:top w:w="80" w:type="dxa"/>
              <w:start w:w="120" w:type="dxa"/>
              <w:bottom w:w="80" w:type="dxa"/>
              <w:end w:w="120" w:type="dxa"/>
            </w:tcMar>
          </w:tcPr>
          <w:p>
            <w:pPr>
              <w:spacing w:after="40"/>
            </w:pPr>
            <w:r>
              <w:rPr>
                <w:b w:val="0"/>
                <w:sz w:val="16"/>
              </w:rPr>
              <w:t>qot&gt;qot</w:t>
            </w:r>
          </w:p>
        </w:tc>
        <w:tc>
          <w:tcPr>
            <w:tcW w:type="dxa" w:w="2460"/>
            <w:vAlign w:val="center"/>
            <w:tcMar>
              <w:top w:w="80" w:type="dxa"/>
              <w:start w:w="120" w:type="dxa"/>
              <w:bottom w:w="80" w:type="dxa"/>
              <w:end w:w="120" w:type="dxa"/>
            </w:tcMar>
          </w:tcPr>
          <w:p>
            <w:pPr>
              <w:spacing w:after="40"/>
              <w:jc w:val="center"/>
            </w:pPr>
            <w:r>
              <w:rPr>
                <w:b w:val="0"/>
                <w:sz w:val="16"/>
              </w:rPr>
              <w:t>3</w:t>
            </w:r>
          </w:p>
        </w:tc>
      </w:tr>
    </w:tbl>
    <w:p>
      <w:pPr>
        <w:spacing w:after="0"/>
      </w:pPr>
    </w:p>
    <w:p>
      <w:r>
        <w:t>Sixteen of the 20 reported transitions were selected in all five page folds. The inventory is dominated by reciprocal movement among qok, che, she, oke, qot, ote, and lch families. These labels are EVA prefixes only; they are not plaintext words or semantic categories.</w:t>
      </w:r>
    </w:p>
    <w:p>
      <w:pPr>
        <w:pStyle w:val="Heading1"/>
      </w:pPr>
      <w:r>
        <w:t>What is now established</w:t>
      </w:r>
    </w:p>
    <w:p>
      <w:r>
        <w:t>The strongest structural object is now three layers deep: (1) final-glyph states persist in long runs beyond vocabulary-preserving shuffles; (2) related token families preferentially occupy adjacent slots inside those runs; and (3) a compact set of directed family transitions learned without the test pages predicts new pages and crosses contributor-block boundaries. That is a mapped generative skeleton, not a translation.</w:t>
      </w:r>
    </w:p>
    <w:p>
      <w:pPr>
        <w:pStyle w:val="Heading1"/>
      </w:pPr>
      <w:r>
        <w:t>What remains unproven</w:t>
      </w:r>
    </w:p>
    <w:p>
      <w:r>
        <w:t>The result does not identify language, meaning, authorship, encryption, mathematics, or intent. A transition such as qok→che is an observed production rule at the EVA-prefix level. It may reflect morphology, formulaic phrasing, copying routines, a cipher mechanism, or another structured generation process.</w:t>
      </w:r>
    </w:p>
    <w:p>
      <w:pPr>
        <w:pStyle w:val="Heading1"/>
      </w:pPr>
      <w:r>
        <w:t>Next decisive test</w:t>
      </w:r>
    </w:p>
    <w:p>
      <w:r>
        <w:t>Test directionality and compositional closure. Freeze the v8.31 transition inventory, learn two-step paths A→B→C on training pages only, and ask whether the direct A→C relation and path frequency recur on untouched pages above a null that repeats both transition and path selection. Run the same leave-one-block-out analysis. Success would show that the portable edges combine into reusable multi-step constructions; failure would limit the finding to adjacent formulas.</w:t>
      </w:r>
    </w:p>
    <w:p>
      <w:pPr>
        <w:pStyle w:val="Heading2"/>
      </w:pPr>
      <w:r>
        <w:t>Sealed receipt</w:t>
      </w:r>
    </w:p>
    <w:p>
      <w:r>
        <w:t>Decision: PORTABLE_PREFIX_TRANSITION_SKELETON_SUPPORTED</w:t>
      </w:r>
    </w:p>
    <w:p>
      <w:r>
        <w:t>Input hash: 6deb0d7d73c0a4434506843d3f6c274bddb1a4a7831ece12dea7a7f8ec63b689</w:t>
      </w:r>
    </w:p>
    <w:p>
      <w:r>
        <w:t>Terminal hash: 573b93228124bba7fe1ae003f6687e1fad4838520e2c75fd192ee59175307b62</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v8.31  |  18 August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B677A"/>
        <w:sz w:val="18"/>
      </w:rPr>
      <w:t>ABAD ADAPTIVE ZD30  |  PREFIX-TRANSITION PORTABILITY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before="0" w:after="80" w:line="240" w:lineRule="auto"/>
    </w:pPr>
    <w:rPr>
      <w:rFonts w:ascii="Calibri" w:hAnsi="Calibri"/>
      <w:b w:val="0"/>
      <w:color w:val="1F2937"/>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line="240" w:lineRule="auto"/>
      <w:outlineLvl w:val="0"/>
    </w:pPr>
    <w:rPr>
      <w:rFonts w:asciiTheme="majorHAnsi" w:eastAsiaTheme="majorEastAsia" w:hAnsiTheme="majorHAnsi" w:cstheme="majorBidi" w:ascii="Calibri" w:hAnsi="Calibri"/>
      <w:b/>
      <w:bCs/>
      <w:color w:val="2E74B5"/>
      <w:sz w:val="29"/>
      <w:szCs w:val="28"/>
    </w:rPr>
  </w:style>
  <w:style w:type="paragraph" w:styleId="Heading2">
    <w:name w:val="heading 2"/>
    <w:basedOn w:val="Normal"/>
    <w:next w:val="Normal"/>
    <w:link w:val="Heading2Char"/>
    <w:uiPriority w:val="9"/>
    <w:unhideWhenUsed/>
    <w:qFormat/>
    <w:rsid w:val="00FC693F"/>
    <w:pPr>
      <w:keepNext/>
      <w:keepLines/>
      <w:spacing w:before="160" w:after="80" w:line="240" w:lineRule="auto"/>
      <w:outlineLvl w:val="1"/>
    </w:pPr>
    <w:rPr>
      <w:rFonts w:asciiTheme="majorHAnsi" w:eastAsiaTheme="majorEastAsia" w:hAnsiTheme="majorHAnsi" w:cstheme="majorBidi" w:ascii="Calibri" w:hAnsi="Calibri"/>
      <w:b/>
      <w:bCs/>
      <w:color w:val="2E74B5"/>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pBdr>
        <w:bottom w:val="single" w:sz="8" w:space="4" w:color="4F81BD" w:themeColor="accent1"/>
      </w:pBdr>
      <w:spacing w:after="80" w:line="240" w:lineRule="auto" w:before="0"/>
      <w:contextualSpacing/>
    </w:pPr>
    <w:rPr>
      <w:rFonts w:asciiTheme="majorHAnsi" w:eastAsiaTheme="majorEastAsia" w:hAnsiTheme="majorHAnsi" w:cstheme="majorBidi" w:ascii="Calibri" w:hAnsi="Calibri"/>
      <w:b/>
      <w:color w:val="0B2545"/>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numPr>
        <w:ilvl w:val="1"/>
      </w:numPr>
      <w:spacing w:before="0" w:after="220" w:line="240" w:lineRule="auto"/>
    </w:pPr>
    <w:rPr>
      <w:rFonts w:asciiTheme="majorHAnsi" w:eastAsiaTheme="majorEastAsia" w:hAnsiTheme="majorHAnsi" w:cstheme="majorBidi" w:ascii="Calibri" w:hAnsi="Calibri"/>
      <w:b w:val="0"/>
      <w:i/>
      <w:iCs/>
      <w:color w:val="5B677A"/>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