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ONE-FEATURE MECHANISM DUEL</w:t>
      </w:r>
    </w:p>
    <w:p>
      <w:pPr>
        <w:pStyle w:val="Subtitle"/>
      </w:pPr>
      <w:r>
        <w:t>Run length versus closing-anchor structure under a three-coefficient limit</w:t>
      </w:r>
    </w:p>
    <w:p>
      <w:r>
        <w:rPr>
          <w:b/>
          <w:color w:val="2E74B5"/>
        </w:rPr>
        <w:t xml:space="preserve">DECISION  </w:t>
      </w:r>
      <w:r>
        <w:t>Neither candidate cleared MDL, but both transported positively and significantly across every contributor block.</w:t>
      </w:r>
    </w:p>
    <w:p>
      <w:pPr>
        <w:pStyle w:val="Heading1"/>
      </w:pPr>
      <w:r>
        <w:t>Executive result</w:t>
      </w:r>
    </w:p>
    <w:p>
      <w:r>
        <w:t>The six-coefficient v8.16 model was split into two predeclared one-feature candidates. Run-only and AFTER-anchor-only each used exactly three added coefficients. Both improved raw prediction in all four contributor blocks and both beat their complete selection-aware null searches after Holm correction. Neither produced enough information to pay the frozen three-coefficient description-length charge.</w:t>
      </w:r>
    </w:p>
    <w:tbl>
      <w:tblPr>
        <w:tblStyle w:val="TableGrid"/>
        <w:tblW w:type="dxa" w:w="9360"/>
        <w:tblLayout w:type="fixed"/>
        <w:tblLook w:firstColumn="1" w:firstRow="1" w:lastColumn="0" w:lastRow="0" w:noHBand="0" w:noVBand="1" w:val="04A0"/>
        <w:tblInd w:w="120" w:type="dxa"/>
      </w:tblPr>
      <w:tblGrid>
        <w:gridCol w:w="2200"/>
        <w:gridCol w:w="1450"/>
        <w:gridCol w:w="1550"/>
        <w:gridCol w:w="1450"/>
        <w:gridCol w:w="1350"/>
        <w:gridCol w:w="1360"/>
      </w:tblGrid>
      <w:tr>
        <w:trPr>
          <w:tblHeader w:val="true"/>
          <w:cantSplit/>
        </w:trPr>
        <w:tc>
          <w:tcPr>
            <w:tcW w:type="dxa" w:w="2200"/>
            <w:shd w:fill="F2F4F7"/>
            <w:vAlign w:val="center"/>
            <w:tcMar>
              <w:top w:w="80" w:type="dxa"/>
              <w:start w:w="120" w:type="dxa"/>
              <w:bottom w:w="80" w:type="dxa"/>
              <w:end w:w="120" w:type="dxa"/>
            </w:tcMar>
          </w:tcPr>
          <w:p>
            <w:pPr>
              <w:spacing w:after="40"/>
            </w:pPr>
            <w:r>
              <w:rPr>
                <w:b/>
                <w:sz w:val="17"/>
              </w:rPr>
              <w:t>Candidate</w:t>
            </w:r>
          </w:p>
        </w:tc>
        <w:tc>
          <w:tcPr>
            <w:tcW w:type="dxa" w:w="1450"/>
            <w:shd w:fill="F2F4F7"/>
            <w:vAlign w:val="center"/>
            <w:tcMar>
              <w:top w:w="80" w:type="dxa"/>
              <w:start w:w="120" w:type="dxa"/>
              <w:bottom w:w="80" w:type="dxa"/>
              <w:end w:w="120" w:type="dxa"/>
            </w:tcMar>
          </w:tcPr>
          <w:p>
            <w:pPr>
              <w:spacing w:after="40"/>
              <w:jc w:val="center"/>
            </w:pPr>
            <w:r>
              <w:rPr>
                <w:b/>
                <w:sz w:val="17"/>
              </w:rPr>
              <w:t>Raw gain</w:t>
            </w:r>
          </w:p>
        </w:tc>
        <w:tc>
          <w:tcPr>
            <w:tcW w:type="dxa" w:w="1550"/>
            <w:shd w:fill="F2F4F7"/>
            <w:vAlign w:val="center"/>
            <w:tcMar>
              <w:top w:w="80" w:type="dxa"/>
              <w:start w:w="120" w:type="dxa"/>
              <w:bottom w:w="80" w:type="dxa"/>
              <w:end w:w="120" w:type="dxa"/>
            </w:tcMar>
          </w:tcPr>
          <w:p>
            <w:pPr>
              <w:spacing w:after="40"/>
              <w:jc w:val="center"/>
            </w:pPr>
            <w:r>
              <w:rPr>
                <w:b/>
                <w:sz w:val="17"/>
              </w:rPr>
              <w:t>MDL charge</w:t>
            </w:r>
          </w:p>
        </w:tc>
        <w:tc>
          <w:tcPr>
            <w:tcW w:type="dxa" w:w="1450"/>
            <w:shd w:fill="F2F4F7"/>
            <w:vAlign w:val="center"/>
            <w:tcMar>
              <w:top w:w="80" w:type="dxa"/>
              <w:start w:w="120" w:type="dxa"/>
              <w:bottom w:w="80" w:type="dxa"/>
              <w:end w:w="120" w:type="dxa"/>
            </w:tcMar>
          </w:tcPr>
          <w:p>
            <w:pPr>
              <w:spacing w:after="40"/>
              <w:jc w:val="center"/>
            </w:pPr>
            <w:r>
              <w:rPr>
                <w:b/>
                <w:sz w:val="17"/>
              </w:rPr>
              <w:t>Final gain</w:t>
            </w:r>
          </w:p>
        </w:tc>
        <w:tc>
          <w:tcPr>
            <w:tcW w:type="dxa" w:w="1350"/>
            <w:shd w:fill="F2F4F7"/>
            <w:vAlign w:val="center"/>
            <w:tcMar>
              <w:top w:w="80" w:type="dxa"/>
              <w:start w:w="120" w:type="dxa"/>
              <w:bottom w:w="80" w:type="dxa"/>
              <w:end w:w="120" w:type="dxa"/>
            </w:tcMar>
          </w:tcPr>
          <w:p>
            <w:pPr>
              <w:spacing w:after="40"/>
              <w:jc w:val="center"/>
            </w:pPr>
            <w:r>
              <w:rPr>
                <w:b/>
                <w:sz w:val="17"/>
              </w:rPr>
              <w:t>Holm p</w:t>
            </w:r>
          </w:p>
        </w:tc>
        <w:tc>
          <w:tcPr>
            <w:tcW w:type="dxa" w:w="1360"/>
            <w:shd w:fill="F2F4F7"/>
            <w:vAlign w:val="center"/>
            <w:tcMar>
              <w:top w:w="80" w:type="dxa"/>
              <w:start w:w="120" w:type="dxa"/>
              <w:bottom w:w="80" w:type="dxa"/>
              <w:end w:w="120" w:type="dxa"/>
            </w:tcMar>
          </w:tcPr>
          <w:p>
            <w:pPr>
              <w:spacing w:after="40"/>
              <w:jc w:val="center"/>
            </w:pPr>
            <w:r>
              <w:rPr>
                <w:b/>
                <w:sz w:val="17"/>
              </w:rPr>
              <w:t>Gate</w:t>
            </w:r>
          </w:p>
        </w:tc>
      </w:tr>
      <w:tr>
        <w:trPr>
          <w:cantSplit/>
        </w:trPr>
        <w:tc>
          <w:tcPr>
            <w:tcW w:type="dxa" w:w="2200"/>
            <w:vAlign w:val="center"/>
            <w:tcMar>
              <w:top w:w="80" w:type="dxa"/>
              <w:start w:w="120" w:type="dxa"/>
              <w:bottom w:w="80" w:type="dxa"/>
              <w:end w:w="120" w:type="dxa"/>
            </w:tcMar>
          </w:tcPr>
          <w:p>
            <w:pPr>
              <w:spacing w:after="40"/>
            </w:pPr>
            <w:r>
              <w:rPr>
                <w:b w:val="0"/>
                <w:sz w:val="17"/>
              </w:rPr>
              <w:t>Run length only</w:t>
            </w:r>
          </w:p>
        </w:tc>
        <w:tc>
          <w:tcPr>
            <w:tcW w:type="dxa" w:w="1450"/>
            <w:vAlign w:val="center"/>
            <w:tcMar>
              <w:top w:w="80" w:type="dxa"/>
              <w:start w:w="120" w:type="dxa"/>
              <w:bottom w:w="80" w:type="dxa"/>
              <w:end w:w="120" w:type="dxa"/>
            </w:tcMar>
          </w:tcPr>
          <w:p>
            <w:pPr>
              <w:spacing w:after="40"/>
              <w:jc w:val="center"/>
            </w:pPr>
            <w:r>
              <w:rPr>
                <w:b w:val="0"/>
                <w:sz w:val="17"/>
              </w:rPr>
              <w:t>+0.01063</w:t>
            </w:r>
          </w:p>
        </w:tc>
        <w:tc>
          <w:tcPr>
            <w:tcW w:type="dxa" w:w="1550"/>
            <w:vAlign w:val="center"/>
            <w:tcMar>
              <w:top w:w="80" w:type="dxa"/>
              <w:start w:w="120" w:type="dxa"/>
              <w:bottom w:w="80" w:type="dxa"/>
              <w:end w:w="120" w:type="dxa"/>
            </w:tcMar>
          </w:tcPr>
          <w:p>
            <w:pPr>
              <w:spacing w:after="40"/>
              <w:jc w:val="center"/>
            </w:pPr>
            <w:r>
              <w:rPr>
                <w:b w:val="0"/>
                <w:sz w:val="17"/>
              </w:rPr>
              <w:t>0.02044</w:t>
            </w:r>
          </w:p>
        </w:tc>
        <w:tc>
          <w:tcPr>
            <w:tcW w:type="dxa" w:w="1450"/>
            <w:vAlign w:val="center"/>
            <w:tcMar>
              <w:top w:w="80" w:type="dxa"/>
              <w:start w:w="120" w:type="dxa"/>
              <w:bottom w:w="80" w:type="dxa"/>
              <w:end w:w="120" w:type="dxa"/>
            </w:tcMar>
          </w:tcPr>
          <w:p>
            <w:pPr>
              <w:spacing w:after="40"/>
              <w:jc w:val="center"/>
            </w:pPr>
            <w:r>
              <w:rPr>
                <w:b w:val="0"/>
                <w:sz w:val="17"/>
              </w:rPr>
              <w:t>-0.00981</w:t>
            </w:r>
          </w:p>
        </w:tc>
        <w:tc>
          <w:tcPr>
            <w:tcW w:type="dxa" w:w="1350"/>
            <w:vAlign w:val="center"/>
            <w:tcMar>
              <w:top w:w="80" w:type="dxa"/>
              <w:start w:w="120" w:type="dxa"/>
              <w:bottom w:w="80" w:type="dxa"/>
              <w:end w:w="120" w:type="dxa"/>
            </w:tcMar>
          </w:tcPr>
          <w:p>
            <w:pPr>
              <w:spacing w:after="40"/>
              <w:jc w:val="center"/>
            </w:pPr>
            <w:r>
              <w:rPr>
                <w:b w:val="0"/>
                <w:sz w:val="17"/>
              </w:rPr>
              <w:t>0.00995</w:t>
            </w:r>
          </w:p>
        </w:tc>
        <w:tc>
          <w:tcPr>
            <w:tcW w:type="dxa" w:w="1360"/>
            <w:vAlign w:val="center"/>
            <w:tcMar>
              <w:top w:w="80" w:type="dxa"/>
              <w:start w:w="120" w:type="dxa"/>
              <w:bottom w:w="80" w:type="dxa"/>
              <w:end w:w="120" w:type="dxa"/>
            </w:tcMar>
          </w:tcPr>
          <w:p>
            <w:pPr>
              <w:spacing w:after="40"/>
              <w:jc w:val="center"/>
            </w:pPr>
            <w:r>
              <w:rPr>
                <w:b w:val="0"/>
                <w:sz w:val="17"/>
              </w:rPr>
              <w:t>FAIL</w:t>
            </w:r>
          </w:p>
        </w:tc>
      </w:tr>
      <w:tr>
        <w:trPr>
          <w:cantSplit/>
        </w:trPr>
        <w:tc>
          <w:tcPr>
            <w:tcW w:type="dxa" w:w="2200"/>
            <w:vAlign w:val="center"/>
            <w:tcMar>
              <w:top w:w="80" w:type="dxa"/>
              <w:start w:w="120" w:type="dxa"/>
              <w:bottom w:w="80" w:type="dxa"/>
              <w:end w:w="120" w:type="dxa"/>
            </w:tcMar>
          </w:tcPr>
          <w:p>
            <w:pPr>
              <w:spacing w:after="40"/>
            </w:pPr>
            <w:r>
              <w:rPr>
                <w:b w:val="0"/>
                <w:sz w:val="17"/>
              </w:rPr>
              <w:t>AFTER-anchor only</w:t>
            </w:r>
          </w:p>
        </w:tc>
        <w:tc>
          <w:tcPr>
            <w:tcW w:type="dxa" w:w="1450"/>
            <w:vAlign w:val="center"/>
            <w:tcMar>
              <w:top w:w="80" w:type="dxa"/>
              <w:start w:w="120" w:type="dxa"/>
              <w:bottom w:w="80" w:type="dxa"/>
              <w:end w:w="120" w:type="dxa"/>
            </w:tcMar>
          </w:tcPr>
          <w:p>
            <w:pPr>
              <w:spacing w:after="40"/>
              <w:jc w:val="center"/>
            </w:pPr>
            <w:r>
              <w:rPr>
                <w:b w:val="0"/>
                <w:sz w:val="17"/>
              </w:rPr>
              <w:t>+0.01274</w:t>
            </w:r>
          </w:p>
        </w:tc>
        <w:tc>
          <w:tcPr>
            <w:tcW w:type="dxa" w:w="1550"/>
            <w:vAlign w:val="center"/>
            <w:tcMar>
              <w:top w:w="80" w:type="dxa"/>
              <w:start w:w="120" w:type="dxa"/>
              <w:bottom w:w="80" w:type="dxa"/>
              <w:end w:w="120" w:type="dxa"/>
            </w:tcMar>
          </w:tcPr>
          <w:p>
            <w:pPr>
              <w:spacing w:after="40"/>
              <w:jc w:val="center"/>
            </w:pPr>
            <w:r>
              <w:rPr>
                <w:b w:val="0"/>
                <w:sz w:val="17"/>
              </w:rPr>
              <w:t>0.02044</w:t>
            </w:r>
          </w:p>
        </w:tc>
        <w:tc>
          <w:tcPr>
            <w:tcW w:type="dxa" w:w="1450"/>
            <w:vAlign w:val="center"/>
            <w:tcMar>
              <w:top w:w="80" w:type="dxa"/>
              <w:start w:w="120" w:type="dxa"/>
              <w:bottom w:w="80" w:type="dxa"/>
              <w:end w:w="120" w:type="dxa"/>
            </w:tcMar>
          </w:tcPr>
          <w:p>
            <w:pPr>
              <w:spacing w:after="40"/>
              <w:jc w:val="center"/>
            </w:pPr>
            <w:r>
              <w:rPr>
                <w:b w:val="0"/>
                <w:sz w:val="17"/>
              </w:rPr>
              <w:t>-0.00770</w:t>
            </w:r>
          </w:p>
        </w:tc>
        <w:tc>
          <w:tcPr>
            <w:tcW w:type="dxa" w:w="1350"/>
            <w:vAlign w:val="center"/>
            <w:tcMar>
              <w:top w:w="80" w:type="dxa"/>
              <w:start w:w="120" w:type="dxa"/>
              <w:bottom w:w="80" w:type="dxa"/>
              <w:end w:w="120" w:type="dxa"/>
            </w:tcMar>
          </w:tcPr>
          <w:p>
            <w:pPr>
              <w:spacing w:after="40"/>
              <w:jc w:val="center"/>
            </w:pPr>
            <w:r>
              <w:rPr>
                <w:b w:val="0"/>
                <w:sz w:val="17"/>
              </w:rPr>
              <w:t>0.00995</w:t>
            </w:r>
          </w:p>
        </w:tc>
        <w:tc>
          <w:tcPr>
            <w:tcW w:type="dxa" w:w="1360"/>
            <w:vAlign w:val="center"/>
            <w:tcMar>
              <w:top w:w="80" w:type="dxa"/>
              <w:start w:w="120" w:type="dxa"/>
              <w:bottom w:w="80" w:type="dxa"/>
              <w:end w:w="120" w:type="dxa"/>
            </w:tcMar>
          </w:tcPr>
          <w:p>
            <w:pPr>
              <w:spacing w:after="40"/>
              <w:jc w:val="center"/>
            </w:pPr>
            <w:r>
              <w:rPr>
                <w:b w:val="0"/>
                <w:sz w:val="17"/>
              </w:rPr>
              <w:t>FAIL</w:t>
            </w:r>
          </w:p>
        </w:tc>
      </w:tr>
    </w:tbl>
    <w:p>
      <w:pPr>
        <w:spacing w:after="0"/>
      </w:pPr>
    </w:p>
    <w:p>
      <w:pPr>
        <w:pStyle w:val="Heading1"/>
      </w:pPr>
      <w:r>
        <w:t>What was frozen</w:t>
      </w:r>
    </w:p>
    <w:p>
      <w:r>
        <w:t>The segment corpus, five untouched-folio folds, role-only baseline, four contributor blocks, and 200 role-preserving null replicates were inherited unchanged. Each candidate was fixed in advance. Inside each training fold, only that candidate’s categories were compressed to one binary merge; no choice between mechanisms and no multi-feature rescue was allowed. Every null repeated the same merge discovery and fitting procedure.</w:t>
      </w:r>
    </w:p>
    <w:p>
      <w:r>
        <w:t>Complexity was charged once to the shared manuscript-wide model. Block consistency was tested by requiring positive raw held-out gain in every contributor block, avoiding the incorrect practice of charging the same shared parameters four separate times.</w:t>
      </w:r>
    </w:p>
    <w:p>
      <w:pPr>
        <w:pStyle w:val="Heading1"/>
        <w:pageBreakBefore/>
      </w:pPr>
      <w:r>
        <w:t>Contributor-block transport</w:t>
      </w:r>
    </w:p>
    <w:tbl>
      <w:tblPr>
        <w:tblStyle w:val="TableGrid"/>
        <w:tblW w:type="dxa" w:w="9360"/>
        <w:tblLayout w:type="fixed"/>
        <w:tblLook w:firstColumn="1" w:firstRow="1" w:lastColumn="0" w:lastRow="0" w:noHBand="0" w:noVBand="1" w:val="04A0"/>
        <w:tblInd w:w="120" w:type="dxa"/>
      </w:tblPr>
      <w:tblGrid>
        <w:gridCol w:w="1600"/>
        <w:gridCol w:w="1300"/>
        <w:gridCol w:w="2250"/>
        <w:gridCol w:w="2250"/>
        <w:gridCol w:w="1960"/>
      </w:tblGrid>
      <w:tr>
        <w:trPr>
          <w:tblHeader w:val="true"/>
          <w:cantSplit/>
        </w:trPr>
        <w:tc>
          <w:tcPr>
            <w:tcW w:type="dxa" w:w="1600"/>
            <w:shd w:fill="F2F4F7"/>
            <w:vAlign w:val="center"/>
            <w:tcMar>
              <w:top w:w="80" w:type="dxa"/>
              <w:start w:w="120" w:type="dxa"/>
              <w:bottom w:w="80" w:type="dxa"/>
              <w:end w:w="120" w:type="dxa"/>
            </w:tcMar>
          </w:tcPr>
          <w:p>
            <w:pPr>
              <w:spacing w:after="40"/>
            </w:pPr>
            <w:r>
              <w:rPr>
                <w:b/>
                <w:sz w:val="18"/>
              </w:rPr>
              <w:t>Block</w:t>
            </w:r>
          </w:p>
        </w:tc>
        <w:tc>
          <w:tcPr>
            <w:tcW w:type="dxa" w:w="1300"/>
            <w:shd w:fill="F2F4F7"/>
            <w:vAlign w:val="center"/>
            <w:tcMar>
              <w:top w:w="80" w:type="dxa"/>
              <w:start w:w="120" w:type="dxa"/>
              <w:bottom w:w="80" w:type="dxa"/>
              <w:end w:w="120" w:type="dxa"/>
            </w:tcMar>
          </w:tcPr>
          <w:p>
            <w:pPr>
              <w:spacing w:after="40"/>
              <w:jc w:val="center"/>
            </w:pPr>
            <w:r>
              <w:rPr>
                <w:b/>
                <w:sz w:val="18"/>
              </w:rPr>
              <w:t>Tokens</w:t>
            </w:r>
          </w:p>
        </w:tc>
        <w:tc>
          <w:tcPr>
            <w:tcW w:type="dxa" w:w="2250"/>
            <w:shd w:fill="F2F4F7"/>
            <w:vAlign w:val="center"/>
            <w:tcMar>
              <w:top w:w="80" w:type="dxa"/>
              <w:start w:w="120" w:type="dxa"/>
              <w:bottom w:w="80" w:type="dxa"/>
              <w:end w:w="120" w:type="dxa"/>
            </w:tcMar>
          </w:tcPr>
          <w:p>
            <w:pPr>
              <w:spacing w:after="40"/>
              <w:jc w:val="center"/>
            </w:pPr>
            <w:r>
              <w:rPr>
                <w:b/>
                <w:sz w:val="18"/>
              </w:rPr>
              <w:t>Run raw gain</w:t>
            </w:r>
          </w:p>
        </w:tc>
        <w:tc>
          <w:tcPr>
            <w:tcW w:type="dxa" w:w="2250"/>
            <w:shd w:fill="F2F4F7"/>
            <w:vAlign w:val="center"/>
            <w:tcMar>
              <w:top w:w="80" w:type="dxa"/>
              <w:start w:w="120" w:type="dxa"/>
              <w:bottom w:w="80" w:type="dxa"/>
              <w:end w:w="120" w:type="dxa"/>
            </w:tcMar>
          </w:tcPr>
          <w:p>
            <w:pPr>
              <w:spacing w:after="40"/>
              <w:jc w:val="center"/>
            </w:pPr>
            <w:r>
              <w:rPr>
                <w:b/>
                <w:sz w:val="18"/>
              </w:rPr>
              <w:t>AFTER raw gain</w:t>
            </w:r>
          </w:p>
        </w:tc>
        <w:tc>
          <w:tcPr>
            <w:tcW w:type="dxa" w:w="1960"/>
            <w:shd w:fill="F2F4F7"/>
            <w:vAlign w:val="center"/>
            <w:tcMar>
              <w:top w:w="80" w:type="dxa"/>
              <w:start w:w="120" w:type="dxa"/>
              <w:bottom w:w="80" w:type="dxa"/>
              <w:end w:w="120" w:type="dxa"/>
            </w:tcMar>
          </w:tcPr>
          <w:p>
            <w:pPr>
              <w:spacing w:after="40"/>
              <w:jc w:val="center"/>
            </w:pPr>
            <w:r>
              <w:rPr>
                <w:b/>
                <w:sz w:val="18"/>
              </w:rPr>
              <w:t>Consistency</w:t>
            </w:r>
          </w:p>
        </w:tc>
      </w:tr>
      <w:tr>
        <w:trPr>
          <w:cantSplit/>
        </w:trPr>
        <w:tc>
          <w:tcPr>
            <w:tcW w:type="dxa" w:w="1600"/>
            <w:vAlign w:val="center"/>
            <w:tcMar>
              <w:top w:w="80" w:type="dxa"/>
              <w:start w:w="120" w:type="dxa"/>
              <w:bottom w:w="80" w:type="dxa"/>
              <w:end w:w="120" w:type="dxa"/>
            </w:tcMar>
          </w:tcPr>
          <w:p>
            <w:pPr>
              <w:spacing w:after="40"/>
            </w:pPr>
            <w:r>
              <w:rPr>
                <w:b w:val="0"/>
                <w:sz w:val="18"/>
              </w:rPr>
              <w:t>G1-S1</w:t>
            </w:r>
          </w:p>
        </w:tc>
        <w:tc>
          <w:tcPr>
            <w:tcW w:type="dxa" w:w="1300"/>
            <w:vAlign w:val="center"/>
            <w:tcMar>
              <w:top w:w="80" w:type="dxa"/>
              <w:start w:w="120" w:type="dxa"/>
              <w:bottom w:w="80" w:type="dxa"/>
              <w:end w:w="120" w:type="dxa"/>
            </w:tcMar>
          </w:tcPr>
          <w:p>
            <w:pPr>
              <w:spacing w:after="40"/>
              <w:jc w:val="center"/>
            </w:pPr>
            <w:r>
              <w:rPr>
                <w:b w:val="0"/>
                <w:sz w:val="18"/>
              </w:rPr>
              <w:t>1282</w:t>
            </w:r>
          </w:p>
        </w:tc>
        <w:tc>
          <w:tcPr>
            <w:tcW w:type="dxa" w:w="2250"/>
            <w:vAlign w:val="center"/>
            <w:tcMar>
              <w:top w:w="80" w:type="dxa"/>
              <w:start w:w="120" w:type="dxa"/>
              <w:bottom w:w="80" w:type="dxa"/>
              <w:end w:w="120" w:type="dxa"/>
            </w:tcMar>
          </w:tcPr>
          <w:p>
            <w:pPr>
              <w:spacing w:after="40"/>
              <w:jc w:val="center"/>
            </w:pPr>
            <w:r>
              <w:rPr>
                <w:b w:val="0"/>
                <w:sz w:val="18"/>
              </w:rPr>
              <w:t>+0.01366</w:t>
            </w:r>
          </w:p>
        </w:tc>
        <w:tc>
          <w:tcPr>
            <w:tcW w:type="dxa" w:w="2250"/>
            <w:vAlign w:val="center"/>
            <w:tcMar>
              <w:top w:w="80" w:type="dxa"/>
              <w:start w:w="120" w:type="dxa"/>
              <w:bottom w:w="80" w:type="dxa"/>
              <w:end w:w="120" w:type="dxa"/>
            </w:tcMar>
          </w:tcPr>
          <w:p>
            <w:pPr>
              <w:spacing w:after="40"/>
              <w:jc w:val="center"/>
            </w:pPr>
            <w:r>
              <w:rPr>
                <w:b w:val="0"/>
                <w:sz w:val="18"/>
              </w:rPr>
              <w:t>+0.00867</w:t>
            </w:r>
          </w:p>
        </w:tc>
        <w:tc>
          <w:tcPr>
            <w:tcW w:type="dxa" w:w="1960"/>
            <w:vAlign w:val="center"/>
            <w:tcMar>
              <w:top w:w="80" w:type="dxa"/>
              <w:start w:w="120" w:type="dxa"/>
              <w:bottom w:w="80" w:type="dxa"/>
              <w:end w:w="120" w:type="dxa"/>
            </w:tcMar>
          </w:tcPr>
          <w:p>
            <w:pPr>
              <w:spacing w:after="40"/>
              <w:jc w:val="center"/>
            </w:pPr>
            <w:r>
              <w:rPr>
                <w:b w:val="0"/>
                <w:sz w:val="18"/>
              </w:rPr>
              <w:t>PASS</w:t>
            </w:r>
          </w:p>
        </w:tc>
      </w:tr>
      <w:tr>
        <w:trPr>
          <w:cantSplit/>
        </w:trPr>
        <w:tc>
          <w:tcPr>
            <w:tcW w:type="dxa" w:w="1600"/>
            <w:vAlign w:val="center"/>
            <w:tcMar>
              <w:top w:w="80" w:type="dxa"/>
              <w:start w:w="120" w:type="dxa"/>
              <w:bottom w:w="80" w:type="dxa"/>
              <w:end w:w="120" w:type="dxa"/>
            </w:tcMar>
          </w:tcPr>
          <w:p>
            <w:pPr>
              <w:spacing w:after="40"/>
            </w:pPr>
            <w:r>
              <w:rPr>
                <w:b w:val="0"/>
                <w:sz w:val="18"/>
              </w:rPr>
              <w:t>G1-S2</w:t>
            </w:r>
          </w:p>
        </w:tc>
        <w:tc>
          <w:tcPr>
            <w:tcW w:type="dxa" w:w="1300"/>
            <w:vAlign w:val="center"/>
            <w:tcMar>
              <w:top w:w="80" w:type="dxa"/>
              <w:start w:w="120" w:type="dxa"/>
              <w:bottom w:w="80" w:type="dxa"/>
              <w:end w:w="120" w:type="dxa"/>
            </w:tcMar>
          </w:tcPr>
          <w:p>
            <w:pPr>
              <w:spacing w:after="40"/>
              <w:jc w:val="center"/>
            </w:pPr>
            <w:r>
              <w:rPr>
                <w:b w:val="0"/>
                <w:sz w:val="18"/>
              </w:rPr>
              <w:t>2086</w:t>
            </w:r>
          </w:p>
        </w:tc>
        <w:tc>
          <w:tcPr>
            <w:tcW w:type="dxa" w:w="2250"/>
            <w:vAlign w:val="center"/>
            <w:tcMar>
              <w:top w:w="80" w:type="dxa"/>
              <w:start w:w="120" w:type="dxa"/>
              <w:bottom w:w="80" w:type="dxa"/>
              <w:end w:w="120" w:type="dxa"/>
            </w:tcMar>
          </w:tcPr>
          <w:p>
            <w:pPr>
              <w:spacing w:after="40"/>
              <w:jc w:val="center"/>
            </w:pPr>
            <w:r>
              <w:rPr>
                <w:b w:val="0"/>
                <w:sz w:val="18"/>
              </w:rPr>
              <w:t>+0.00841</w:t>
            </w:r>
          </w:p>
        </w:tc>
        <w:tc>
          <w:tcPr>
            <w:tcW w:type="dxa" w:w="2250"/>
            <w:vAlign w:val="center"/>
            <w:tcMar>
              <w:top w:w="80" w:type="dxa"/>
              <w:start w:w="120" w:type="dxa"/>
              <w:bottom w:w="80" w:type="dxa"/>
              <w:end w:w="120" w:type="dxa"/>
            </w:tcMar>
          </w:tcPr>
          <w:p>
            <w:pPr>
              <w:spacing w:after="40"/>
              <w:jc w:val="center"/>
            </w:pPr>
            <w:r>
              <w:rPr>
                <w:b w:val="0"/>
                <w:sz w:val="18"/>
              </w:rPr>
              <w:t>+0.01391</w:t>
            </w:r>
          </w:p>
        </w:tc>
        <w:tc>
          <w:tcPr>
            <w:tcW w:type="dxa" w:w="1960"/>
            <w:vAlign w:val="center"/>
            <w:tcMar>
              <w:top w:w="80" w:type="dxa"/>
              <w:start w:w="120" w:type="dxa"/>
              <w:bottom w:w="80" w:type="dxa"/>
              <w:end w:w="120" w:type="dxa"/>
            </w:tcMar>
          </w:tcPr>
          <w:p>
            <w:pPr>
              <w:spacing w:after="40"/>
              <w:jc w:val="center"/>
            </w:pPr>
            <w:r>
              <w:rPr>
                <w:b w:val="0"/>
                <w:sz w:val="18"/>
              </w:rPr>
              <w:t>PASS</w:t>
            </w:r>
          </w:p>
        </w:tc>
      </w:tr>
      <w:tr>
        <w:trPr>
          <w:cantSplit/>
        </w:trPr>
        <w:tc>
          <w:tcPr>
            <w:tcW w:type="dxa" w:w="1600"/>
            <w:vAlign w:val="center"/>
            <w:tcMar>
              <w:top w:w="80" w:type="dxa"/>
              <w:start w:w="120" w:type="dxa"/>
              <w:bottom w:w="80" w:type="dxa"/>
              <w:end w:w="120" w:type="dxa"/>
            </w:tcMar>
          </w:tcPr>
          <w:p>
            <w:pPr>
              <w:spacing w:after="40"/>
            </w:pPr>
            <w:r>
              <w:rPr>
                <w:b w:val="0"/>
                <w:sz w:val="18"/>
              </w:rPr>
              <w:t>G2-S1</w:t>
            </w:r>
          </w:p>
        </w:tc>
        <w:tc>
          <w:tcPr>
            <w:tcW w:type="dxa" w:w="1300"/>
            <w:vAlign w:val="center"/>
            <w:tcMar>
              <w:top w:w="80" w:type="dxa"/>
              <w:start w:w="120" w:type="dxa"/>
              <w:bottom w:w="80" w:type="dxa"/>
              <w:end w:w="120" w:type="dxa"/>
            </w:tcMar>
          </w:tcPr>
          <w:p>
            <w:pPr>
              <w:spacing w:after="40"/>
              <w:jc w:val="center"/>
            </w:pPr>
            <w:r>
              <w:rPr>
                <w:b w:val="0"/>
                <w:sz w:val="18"/>
              </w:rPr>
              <w:t>405</w:t>
            </w:r>
          </w:p>
        </w:tc>
        <w:tc>
          <w:tcPr>
            <w:tcW w:type="dxa" w:w="2250"/>
            <w:vAlign w:val="center"/>
            <w:tcMar>
              <w:top w:w="80" w:type="dxa"/>
              <w:start w:w="120" w:type="dxa"/>
              <w:bottom w:w="80" w:type="dxa"/>
              <w:end w:w="120" w:type="dxa"/>
            </w:tcMar>
          </w:tcPr>
          <w:p>
            <w:pPr>
              <w:spacing w:after="40"/>
              <w:jc w:val="center"/>
            </w:pPr>
            <w:r>
              <w:rPr>
                <w:b w:val="0"/>
                <w:sz w:val="18"/>
              </w:rPr>
              <w:t>+0.00507</w:t>
            </w:r>
          </w:p>
        </w:tc>
        <w:tc>
          <w:tcPr>
            <w:tcW w:type="dxa" w:w="2250"/>
            <w:vAlign w:val="center"/>
            <w:tcMar>
              <w:top w:w="80" w:type="dxa"/>
              <w:start w:w="120" w:type="dxa"/>
              <w:bottom w:w="80" w:type="dxa"/>
              <w:end w:w="120" w:type="dxa"/>
            </w:tcMar>
          </w:tcPr>
          <w:p>
            <w:pPr>
              <w:spacing w:after="40"/>
              <w:jc w:val="center"/>
            </w:pPr>
            <w:r>
              <w:rPr>
                <w:b w:val="0"/>
                <w:sz w:val="18"/>
              </w:rPr>
              <w:t>+0.01815</w:t>
            </w:r>
          </w:p>
        </w:tc>
        <w:tc>
          <w:tcPr>
            <w:tcW w:type="dxa" w:w="1960"/>
            <w:vAlign w:val="center"/>
            <w:tcMar>
              <w:top w:w="80" w:type="dxa"/>
              <w:start w:w="120" w:type="dxa"/>
              <w:bottom w:w="80" w:type="dxa"/>
              <w:end w:w="120" w:type="dxa"/>
            </w:tcMar>
          </w:tcPr>
          <w:p>
            <w:pPr>
              <w:spacing w:after="40"/>
              <w:jc w:val="center"/>
            </w:pPr>
            <w:r>
              <w:rPr>
                <w:b w:val="0"/>
                <w:sz w:val="18"/>
              </w:rPr>
              <w:t>PASS</w:t>
            </w:r>
          </w:p>
        </w:tc>
      </w:tr>
      <w:tr>
        <w:trPr>
          <w:cantSplit/>
        </w:trPr>
        <w:tc>
          <w:tcPr>
            <w:tcW w:type="dxa" w:w="1600"/>
            <w:vAlign w:val="center"/>
            <w:tcMar>
              <w:top w:w="80" w:type="dxa"/>
              <w:start w:w="120" w:type="dxa"/>
              <w:bottom w:w="80" w:type="dxa"/>
              <w:end w:w="120" w:type="dxa"/>
            </w:tcMar>
          </w:tcPr>
          <w:p>
            <w:pPr>
              <w:spacing w:after="40"/>
            </w:pPr>
            <w:r>
              <w:rPr>
                <w:b w:val="0"/>
                <w:sz w:val="18"/>
              </w:rPr>
              <w:t>G2-S2</w:t>
            </w:r>
          </w:p>
        </w:tc>
        <w:tc>
          <w:tcPr>
            <w:tcW w:type="dxa" w:w="1300"/>
            <w:vAlign w:val="center"/>
            <w:tcMar>
              <w:top w:w="80" w:type="dxa"/>
              <w:start w:w="120" w:type="dxa"/>
              <w:bottom w:w="80" w:type="dxa"/>
              <w:end w:w="120" w:type="dxa"/>
            </w:tcMar>
          </w:tcPr>
          <w:p>
            <w:pPr>
              <w:spacing w:after="40"/>
              <w:jc w:val="center"/>
            </w:pPr>
            <w:r>
              <w:rPr>
                <w:b w:val="0"/>
                <w:sz w:val="18"/>
              </w:rPr>
              <w:t>539</w:t>
            </w:r>
          </w:p>
        </w:tc>
        <w:tc>
          <w:tcPr>
            <w:tcW w:type="dxa" w:w="2250"/>
            <w:vAlign w:val="center"/>
            <w:tcMar>
              <w:top w:w="80" w:type="dxa"/>
              <w:start w:w="120" w:type="dxa"/>
              <w:bottom w:w="80" w:type="dxa"/>
              <w:end w:w="120" w:type="dxa"/>
            </w:tcMar>
          </w:tcPr>
          <w:p>
            <w:pPr>
              <w:spacing w:after="40"/>
              <w:jc w:val="center"/>
            </w:pPr>
            <w:r>
              <w:rPr>
                <w:b w:val="0"/>
                <w:sz w:val="18"/>
              </w:rPr>
              <w:t>+0.01614</w:t>
            </w:r>
          </w:p>
        </w:tc>
        <w:tc>
          <w:tcPr>
            <w:tcW w:type="dxa" w:w="2250"/>
            <w:vAlign w:val="center"/>
            <w:tcMar>
              <w:top w:w="80" w:type="dxa"/>
              <w:start w:w="120" w:type="dxa"/>
              <w:bottom w:w="80" w:type="dxa"/>
              <w:end w:w="120" w:type="dxa"/>
            </w:tcMar>
          </w:tcPr>
          <w:p>
            <w:pPr>
              <w:spacing w:after="40"/>
              <w:jc w:val="center"/>
            </w:pPr>
            <w:r>
              <w:rPr>
                <w:b w:val="0"/>
                <w:sz w:val="18"/>
              </w:rPr>
              <w:t>+0.01379</w:t>
            </w:r>
          </w:p>
        </w:tc>
        <w:tc>
          <w:tcPr>
            <w:tcW w:type="dxa" w:w="1960"/>
            <w:vAlign w:val="center"/>
            <w:tcMar>
              <w:top w:w="80" w:type="dxa"/>
              <w:start w:w="120" w:type="dxa"/>
              <w:bottom w:w="80" w:type="dxa"/>
              <w:end w:w="120" w:type="dxa"/>
            </w:tcMar>
          </w:tcPr>
          <w:p>
            <w:pPr>
              <w:spacing w:after="40"/>
              <w:jc w:val="center"/>
            </w:pPr>
            <w:r>
              <w:rPr>
                <w:b w:val="0"/>
                <w:sz w:val="18"/>
              </w:rPr>
              <w:t>PASS</w:t>
            </w:r>
          </w:p>
        </w:tc>
      </w:tr>
    </w:tbl>
    <w:p>
      <w:pPr>
        <w:spacing w:after="0"/>
      </w:pPr>
    </w:p>
    <w:p>
      <w:r>
        <w:t>Both mechanisms were positive in every block. Run length ranged from +0.00507 to +0.01614 bits/token; AFTER-anchor ranged from +0.00867 to +0.01815. This rules out the possibility that the aggregate result was created by one favorable contributor block cancelling failures elsewhere.</w:t>
      </w:r>
    </w:p>
    <w:p>
      <w:pPr>
        <w:pStyle w:val="Heading1"/>
      </w:pPr>
      <w:r>
        <w:t>The retained rules</w:t>
      </w:r>
    </w:p>
    <w:p>
      <w:r>
        <w:t>The run candidate selected the identical split in all five folds: run length 4 versus run lengths 5 or 6+. The AFTER-anchor split alternated between two related training-derived partitions, just as in v8.16. This makes run length the more stable representation, while the AFTER-anchor candidate carries slightly more aggregate raw information.</w:t>
      </w:r>
    </w:p>
    <w:tbl>
      <w:tblPr>
        <w:tblStyle w:val="TableGrid"/>
        <w:tblW w:type="dxa" w:w="9360"/>
        <w:tblLayout w:type="fixed"/>
        <w:tblLook w:firstColumn="1" w:firstRow="1" w:lastColumn="0" w:lastRow="0" w:noHBand="0" w:noVBand="1" w:val="04A0"/>
        <w:tblInd w:w="120" w:type="dxa"/>
      </w:tblPr>
      <w:tblGrid>
        <w:gridCol w:w="800"/>
        <w:gridCol w:w="1300"/>
        <w:gridCol w:w="3900"/>
        <w:gridCol w:w="1680"/>
        <w:gridCol w:w="1680"/>
      </w:tblGrid>
      <w:tr>
        <w:trPr>
          <w:tblHeader w:val="true"/>
          <w:cantSplit/>
        </w:trPr>
        <w:tc>
          <w:tcPr>
            <w:tcW w:type="dxa" w:w="800"/>
            <w:shd w:fill="F2F4F7"/>
            <w:vAlign w:val="center"/>
            <w:tcMar>
              <w:top w:w="80" w:type="dxa"/>
              <w:start w:w="120" w:type="dxa"/>
              <w:bottom w:w="80" w:type="dxa"/>
              <w:end w:w="120" w:type="dxa"/>
            </w:tcMar>
          </w:tcPr>
          <w:p>
            <w:pPr>
              <w:spacing w:after="40"/>
            </w:pPr>
            <w:r>
              <w:rPr>
                <w:b/>
                <w:sz w:val="17"/>
              </w:rPr>
              <w:t>Fold</w:t>
            </w:r>
          </w:p>
        </w:tc>
        <w:tc>
          <w:tcPr>
            <w:tcW w:type="dxa" w:w="1300"/>
            <w:shd w:fill="F2F4F7"/>
            <w:vAlign w:val="center"/>
            <w:tcMar>
              <w:top w:w="80" w:type="dxa"/>
              <w:start w:w="120" w:type="dxa"/>
              <w:bottom w:w="80" w:type="dxa"/>
              <w:end w:w="120" w:type="dxa"/>
            </w:tcMar>
          </w:tcPr>
          <w:p>
            <w:pPr>
              <w:spacing w:after="40"/>
              <w:jc w:val="center"/>
            </w:pPr>
            <w:r>
              <w:rPr>
                <w:b/>
                <w:sz w:val="17"/>
              </w:rPr>
              <w:t>Run side</w:t>
            </w:r>
          </w:p>
        </w:tc>
        <w:tc>
          <w:tcPr>
            <w:tcW w:type="dxa" w:w="3900"/>
            <w:shd w:fill="F2F4F7"/>
            <w:vAlign w:val="center"/>
            <w:tcMar>
              <w:top w:w="80" w:type="dxa"/>
              <w:start w:w="120" w:type="dxa"/>
              <w:bottom w:w="80" w:type="dxa"/>
              <w:end w:w="120" w:type="dxa"/>
            </w:tcMar>
          </w:tcPr>
          <w:p>
            <w:pPr>
              <w:spacing w:after="40"/>
              <w:jc w:val="center"/>
            </w:pPr>
            <w:r>
              <w:rPr>
                <w:b/>
                <w:sz w:val="17"/>
              </w:rPr>
              <w:t>AFTER side</w:t>
            </w:r>
          </w:p>
        </w:tc>
        <w:tc>
          <w:tcPr>
            <w:tcW w:type="dxa" w:w="1680"/>
            <w:shd w:fill="F2F4F7"/>
            <w:vAlign w:val="center"/>
            <w:tcMar>
              <w:top w:w="80" w:type="dxa"/>
              <w:start w:w="120" w:type="dxa"/>
              <w:bottom w:w="80" w:type="dxa"/>
              <w:end w:w="120" w:type="dxa"/>
            </w:tcMar>
          </w:tcPr>
          <w:p>
            <w:pPr>
              <w:spacing w:after="40"/>
              <w:jc w:val="center"/>
            </w:pPr>
            <w:r>
              <w:rPr>
                <w:b/>
                <w:sz w:val="17"/>
              </w:rPr>
              <w:t>Run raw</w:t>
            </w:r>
          </w:p>
        </w:tc>
        <w:tc>
          <w:tcPr>
            <w:tcW w:type="dxa" w:w="1680"/>
            <w:shd w:fill="F2F4F7"/>
            <w:vAlign w:val="center"/>
            <w:tcMar>
              <w:top w:w="80" w:type="dxa"/>
              <w:start w:w="120" w:type="dxa"/>
              <w:bottom w:w="80" w:type="dxa"/>
              <w:end w:w="120" w:type="dxa"/>
            </w:tcMar>
          </w:tcPr>
          <w:p>
            <w:pPr>
              <w:spacing w:after="40"/>
              <w:jc w:val="center"/>
            </w:pPr>
            <w:r>
              <w:rPr>
                <w:b/>
                <w:sz w:val="17"/>
              </w:rPr>
              <w:t>AFTER raw</w:t>
            </w:r>
          </w:p>
        </w:tc>
      </w:tr>
      <w:tr>
        <w:trPr>
          <w:cantSplit/>
        </w:trPr>
        <w:tc>
          <w:tcPr>
            <w:tcW w:type="dxa" w:w="800"/>
            <w:vAlign w:val="center"/>
            <w:tcMar>
              <w:top w:w="80" w:type="dxa"/>
              <w:start w:w="120" w:type="dxa"/>
              <w:bottom w:w="80" w:type="dxa"/>
              <w:end w:w="120" w:type="dxa"/>
            </w:tcMar>
          </w:tcPr>
          <w:p>
            <w:pPr>
              <w:spacing w:after="40"/>
            </w:pPr>
            <w:r>
              <w:rPr>
                <w:b w:val="0"/>
                <w:sz w:val="17"/>
              </w:rPr>
              <w:t>1</w:t>
            </w:r>
          </w:p>
        </w:tc>
        <w:tc>
          <w:tcPr>
            <w:tcW w:type="dxa" w:w="1300"/>
            <w:vAlign w:val="center"/>
            <w:tcMar>
              <w:top w:w="80" w:type="dxa"/>
              <w:start w:w="120" w:type="dxa"/>
              <w:bottom w:w="80" w:type="dxa"/>
              <w:end w:w="120" w:type="dxa"/>
            </w:tcMar>
          </w:tcPr>
          <w:p>
            <w:pPr>
              <w:spacing w:after="40"/>
              <w:jc w:val="center"/>
            </w:pPr>
            <w:r>
              <w:rPr>
                <w:b w:val="0"/>
                <w:sz w:val="17"/>
              </w:rPr>
              <w:t>{4}</w:t>
            </w:r>
          </w:p>
        </w:tc>
        <w:tc>
          <w:tcPr>
            <w:tcW w:type="dxa" w:w="3900"/>
            <w:vAlign w:val="center"/>
            <w:tcMar>
              <w:top w:w="80" w:type="dxa"/>
              <w:start w:w="120" w:type="dxa"/>
              <w:bottom w:w="80" w:type="dxa"/>
              <w:end w:w="120" w:type="dxa"/>
            </w:tcMar>
          </w:tcPr>
          <w:p>
            <w:pPr>
              <w:spacing w:after="40"/>
              <w:jc w:val="center"/>
            </w:pPr>
            <w:r>
              <w:rPr>
                <w:b w:val="0"/>
                <w:sz w:val="17"/>
              </w:rPr>
              <w:t>{AC0, AC1, EDGE}</w:t>
            </w:r>
          </w:p>
        </w:tc>
        <w:tc>
          <w:tcPr>
            <w:tcW w:type="dxa" w:w="1680"/>
            <w:vAlign w:val="center"/>
            <w:tcMar>
              <w:top w:w="80" w:type="dxa"/>
              <w:start w:w="120" w:type="dxa"/>
              <w:bottom w:w="80" w:type="dxa"/>
              <w:end w:w="120" w:type="dxa"/>
            </w:tcMar>
          </w:tcPr>
          <w:p>
            <w:pPr>
              <w:spacing w:after="40"/>
              <w:jc w:val="center"/>
            </w:pPr>
            <w:r>
              <w:rPr>
                <w:b w:val="0"/>
                <w:sz w:val="17"/>
              </w:rPr>
              <w:t>+0.01799</w:t>
            </w:r>
          </w:p>
        </w:tc>
        <w:tc>
          <w:tcPr>
            <w:tcW w:type="dxa" w:w="1680"/>
            <w:vAlign w:val="center"/>
            <w:tcMar>
              <w:top w:w="80" w:type="dxa"/>
              <w:start w:w="120" w:type="dxa"/>
              <w:bottom w:w="80" w:type="dxa"/>
              <w:end w:w="120" w:type="dxa"/>
            </w:tcMar>
          </w:tcPr>
          <w:p>
            <w:pPr>
              <w:spacing w:after="40"/>
              <w:jc w:val="center"/>
            </w:pPr>
            <w:r>
              <w:rPr>
                <w:b w:val="0"/>
                <w:sz w:val="17"/>
              </w:rPr>
              <w:t>+0.01113</w:t>
            </w:r>
          </w:p>
        </w:tc>
      </w:tr>
      <w:tr>
        <w:trPr>
          <w:cantSplit/>
        </w:trPr>
        <w:tc>
          <w:tcPr>
            <w:tcW w:type="dxa" w:w="800"/>
            <w:vAlign w:val="center"/>
            <w:tcMar>
              <w:top w:w="80" w:type="dxa"/>
              <w:start w:w="120" w:type="dxa"/>
              <w:bottom w:w="80" w:type="dxa"/>
              <w:end w:w="120" w:type="dxa"/>
            </w:tcMar>
          </w:tcPr>
          <w:p>
            <w:pPr>
              <w:spacing w:after="40"/>
            </w:pPr>
            <w:r>
              <w:rPr>
                <w:b w:val="0"/>
                <w:sz w:val="17"/>
              </w:rPr>
              <w:t>2</w:t>
            </w:r>
          </w:p>
        </w:tc>
        <w:tc>
          <w:tcPr>
            <w:tcW w:type="dxa" w:w="1300"/>
            <w:vAlign w:val="center"/>
            <w:tcMar>
              <w:top w:w="80" w:type="dxa"/>
              <w:start w:w="120" w:type="dxa"/>
              <w:bottom w:w="80" w:type="dxa"/>
              <w:end w:w="120" w:type="dxa"/>
            </w:tcMar>
          </w:tcPr>
          <w:p>
            <w:pPr>
              <w:spacing w:after="40"/>
              <w:jc w:val="center"/>
            </w:pPr>
            <w:r>
              <w:rPr>
                <w:b w:val="0"/>
                <w:sz w:val="17"/>
              </w:rPr>
              <w:t>{4}</w:t>
            </w:r>
          </w:p>
        </w:tc>
        <w:tc>
          <w:tcPr>
            <w:tcW w:type="dxa" w:w="3900"/>
            <w:vAlign w:val="center"/>
            <w:tcMar>
              <w:top w:w="80" w:type="dxa"/>
              <w:start w:w="120" w:type="dxa"/>
              <w:bottom w:w="80" w:type="dxa"/>
              <w:end w:w="120" w:type="dxa"/>
            </w:tcMar>
          </w:tcPr>
          <w:p>
            <w:pPr>
              <w:spacing w:after="40"/>
              <w:jc w:val="center"/>
            </w:pPr>
            <w:r>
              <w:rPr>
                <w:b w:val="0"/>
                <w:sz w:val="17"/>
              </w:rPr>
              <w:t>{AC0, OTHER}</w:t>
            </w:r>
          </w:p>
        </w:tc>
        <w:tc>
          <w:tcPr>
            <w:tcW w:type="dxa" w:w="1680"/>
            <w:vAlign w:val="center"/>
            <w:tcMar>
              <w:top w:w="80" w:type="dxa"/>
              <w:start w:w="120" w:type="dxa"/>
              <w:bottom w:w="80" w:type="dxa"/>
              <w:end w:w="120" w:type="dxa"/>
            </w:tcMar>
          </w:tcPr>
          <w:p>
            <w:pPr>
              <w:spacing w:after="40"/>
              <w:jc w:val="center"/>
            </w:pPr>
            <w:r>
              <w:rPr>
                <w:b w:val="0"/>
                <w:sz w:val="17"/>
              </w:rPr>
              <w:t>+0.01456</w:t>
            </w:r>
          </w:p>
        </w:tc>
        <w:tc>
          <w:tcPr>
            <w:tcW w:type="dxa" w:w="1680"/>
            <w:vAlign w:val="center"/>
            <w:tcMar>
              <w:top w:w="80" w:type="dxa"/>
              <w:start w:w="120" w:type="dxa"/>
              <w:bottom w:w="80" w:type="dxa"/>
              <w:end w:w="120" w:type="dxa"/>
            </w:tcMar>
          </w:tcPr>
          <w:p>
            <w:pPr>
              <w:spacing w:after="40"/>
              <w:jc w:val="center"/>
            </w:pPr>
            <w:r>
              <w:rPr>
                <w:b w:val="0"/>
                <w:sz w:val="17"/>
              </w:rPr>
              <w:t>+0.01801</w:t>
            </w:r>
          </w:p>
        </w:tc>
      </w:tr>
      <w:tr>
        <w:trPr>
          <w:cantSplit/>
        </w:trPr>
        <w:tc>
          <w:tcPr>
            <w:tcW w:type="dxa" w:w="800"/>
            <w:vAlign w:val="center"/>
            <w:tcMar>
              <w:top w:w="80" w:type="dxa"/>
              <w:start w:w="120" w:type="dxa"/>
              <w:bottom w:w="80" w:type="dxa"/>
              <w:end w:w="120" w:type="dxa"/>
            </w:tcMar>
          </w:tcPr>
          <w:p>
            <w:pPr>
              <w:spacing w:after="40"/>
            </w:pPr>
            <w:r>
              <w:rPr>
                <w:b w:val="0"/>
                <w:sz w:val="17"/>
              </w:rPr>
              <w:t>3</w:t>
            </w:r>
          </w:p>
        </w:tc>
        <w:tc>
          <w:tcPr>
            <w:tcW w:type="dxa" w:w="1300"/>
            <w:vAlign w:val="center"/>
            <w:tcMar>
              <w:top w:w="80" w:type="dxa"/>
              <w:start w:w="120" w:type="dxa"/>
              <w:bottom w:w="80" w:type="dxa"/>
              <w:end w:w="120" w:type="dxa"/>
            </w:tcMar>
          </w:tcPr>
          <w:p>
            <w:pPr>
              <w:spacing w:after="40"/>
              <w:jc w:val="center"/>
            </w:pPr>
            <w:r>
              <w:rPr>
                <w:b w:val="0"/>
                <w:sz w:val="17"/>
              </w:rPr>
              <w:t>{4}</w:t>
            </w:r>
          </w:p>
        </w:tc>
        <w:tc>
          <w:tcPr>
            <w:tcW w:type="dxa" w:w="3900"/>
            <w:vAlign w:val="center"/>
            <w:tcMar>
              <w:top w:w="80" w:type="dxa"/>
              <w:start w:w="120" w:type="dxa"/>
              <w:bottom w:w="80" w:type="dxa"/>
              <w:end w:w="120" w:type="dxa"/>
            </w:tcMar>
          </w:tcPr>
          <w:p>
            <w:pPr>
              <w:spacing w:after="40"/>
              <w:jc w:val="center"/>
            </w:pPr>
            <w:r>
              <w:rPr>
                <w:b w:val="0"/>
                <w:sz w:val="17"/>
              </w:rPr>
              <w:t>{AC0, AC1, EDGE}</w:t>
            </w:r>
          </w:p>
        </w:tc>
        <w:tc>
          <w:tcPr>
            <w:tcW w:type="dxa" w:w="1680"/>
            <w:vAlign w:val="center"/>
            <w:tcMar>
              <w:top w:w="80" w:type="dxa"/>
              <w:start w:w="120" w:type="dxa"/>
              <w:bottom w:w="80" w:type="dxa"/>
              <w:end w:w="120" w:type="dxa"/>
            </w:tcMar>
          </w:tcPr>
          <w:p>
            <w:pPr>
              <w:spacing w:after="40"/>
              <w:jc w:val="center"/>
            </w:pPr>
            <w:r>
              <w:rPr>
                <w:b w:val="0"/>
                <w:sz w:val="17"/>
              </w:rPr>
              <w:t>+0.00767</w:t>
            </w:r>
          </w:p>
        </w:tc>
        <w:tc>
          <w:tcPr>
            <w:tcW w:type="dxa" w:w="1680"/>
            <w:vAlign w:val="center"/>
            <w:tcMar>
              <w:top w:w="80" w:type="dxa"/>
              <w:start w:w="120" w:type="dxa"/>
              <w:bottom w:w="80" w:type="dxa"/>
              <w:end w:w="120" w:type="dxa"/>
            </w:tcMar>
          </w:tcPr>
          <w:p>
            <w:pPr>
              <w:spacing w:after="40"/>
              <w:jc w:val="center"/>
            </w:pPr>
            <w:r>
              <w:rPr>
                <w:b w:val="0"/>
                <w:sz w:val="17"/>
              </w:rPr>
              <w:t>+0.01548</w:t>
            </w:r>
          </w:p>
        </w:tc>
      </w:tr>
      <w:tr>
        <w:trPr>
          <w:cantSplit/>
        </w:trPr>
        <w:tc>
          <w:tcPr>
            <w:tcW w:type="dxa" w:w="800"/>
            <w:vAlign w:val="center"/>
            <w:tcMar>
              <w:top w:w="80" w:type="dxa"/>
              <w:start w:w="120" w:type="dxa"/>
              <w:bottom w:w="80" w:type="dxa"/>
              <w:end w:w="120" w:type="dxa"/>
            </w:tcMar>
          </w:tcPr>
          <w:p>
            <w:pPr>
              <w:spacing w:after="40"/>
            </w:pPr>
            <w:r>
              <w:rPr>
                <w:b w:val="0"/>
                <w:sz w:val="17"/>
              </w:rPr>
              <w:t>4</w:t>
            </w:r>
          </w:p>
        </w:tc>
        <w:tc>
          <w:tcPr>
            <w:tcW w:type="dxa" w:w="1300"/>
            <w:vAlign w:val="center"/>
            <w:tcMar>
              <w:top w:w="80" w:type="dxa"/>
              <w:start w:w="120" w:type="dxa"/>
              <w:bottom w:w="80" w:type="dxa"/>
              <w:end w:w="120" w:type="dxa"/>
            </w:tcMar>
          </w:tcPr>
          <w:p>
            <w:pPr>
              <w:spacing w:after="40"/>
              <w:jc w:val="center"/>
            </w:pPr>
            <w:r>
              <w:rPr>
                <w:b w:val="0"/>
                <w:sz w:val="17"/>
              </w:rPr>
              <w:t>{4}</w:t>
            </w:r>
          </w:p>
        </w:tc>
        <w:tc>
          <w:tcPr>
            <w:tcW w:type="dxa" w:w="3900"/>
            <w:vAlign w:val="center"/>
            <w:tcMar>
              <w:top w:w="80" w:type="dxa"/>
              <w:start w:w="120" w:type="dxa"/>
              <w:bottom w:w="80" w:type="dxa"/>
              <w:end w:w="120" w:type="dxa"/>
            </w:tcMar>
          </w:tcPr>
          <w:p>
            <w:pPr>
              <w:spacing w:after="40"/>
              <w:jc w:val="center"/>
            </w:pPr>
            <w:r>
              <w:rPr>
                <w:b w:val="0"/>
                <w:sz w:val="17"/>
              </w:rPr>
              <w:t>{AC0, OTHER}</w:t>
            </w:r>
          </w:p>
        </w:tc>
        <w:tc>
          <w:tcPr>
            <w:tcW w:type="dxa" w:w="1680"/>
            <w:vAlign w:val="center"/>
            <w:tcMar>
              <w:top w:w="80" w:type="dxa"/>
              <w:start w:w="120" w:type="dxa"/>
              <w:bottom w:w="80" w:type="dxa"/>
              <w:end w:w="120" w:type="dxa"/>
            </w:tcMar>
          </w:tcPr>
          <w:p>
            <w:pPr>
              <w:spacing w:after="40"/>
              <w:jc w:val="center"/>
            </w:pPr>
            <w:r>
              <w:rPr>
                <w:b w:val="0"/>
                <w:sz w:val="17"/>
              </w:rPr>
              <w:t>+0.00218</w:t>
            </w:r>
          </w:p>
        </w:tc>
        <w:tc>
          <w:tcPr>
            <w:tcW w:type="dxa" w:w="1680"/>
            <w:vAlign w:val="center"/>
            <w:tcMar>
              <w:top w:w="80" w:type="dxa"/>
              <w:start w:w="120" w:type="dxa"/>
              <w:bottom w:w="80" w:type="dxa"/>
              <w:end w:w="120" w:type="dxa"/>
            </w:tcMar>
          </w:tcPr>
          <w:p>
            <w:pPr>
              <w:spacing w:after="40"/>
              <w:jc w:val="center"/>
            </w:pPr>
            <w:r>
              <w:rPr>
                <w:b w:val="0"/>
                <w:sz w:val="17"/>
              </w:rPr>
              <w:t>+0.00169</w:t>
            </w:r>
          </w:p>
        </w:tc>
      </w:tr>
      <w:tr>
        <w:trPr>
          <w:cantSplit/>
        </w:trPr>
        <w:tc>
          <w:tcPr>
            <w:tcW w:type="dxa" w:w="800"/>
            <w:vAlign w:val="center"/>
            <w:tcMar>
              <w:top w:w="80" w:type="dxa"/>
              <w:start w:w="120" w:type="dxa"/>
              <w:bottom w:w="80" w:type="dxa"/>
              <w:end w:w="120" w:type="dxa"/>
            </w:tcMar>
          </w:tcPr>
          <w:p>
            <w:pPr>
              <w:spacing w:after="40"/>
            </w:pPr>
            <w:r>
              <w:rPr>
                <w:b w:val="0"/>
                <w:sz w:val="17"/>
              </w:rPr>
              <w:t>5</w:t>
            </w:r>
          </w:p>
        </w:tc>
        <w:tc>
          <w:tcPr>
            <w:tcW w:type="dxa" w:w="1300"/>
            <w:vAlign w:val="center"/>
            <w:tcMar>
              <w:top w:w="80" w:type="dxa"/>
              <w:start w:w="120" w:type="dxa"/>
              <w:bottom w:w="80" w:type="dxa"/>
              <w:end w:w="120" w:type="dxa"/>
            </w:tcMar>
          </w:tcPr>
          <w:p>
            <w:pPr>
              <w:spacing w:after="40"/>
              <w:jc w:val="center"/>
            </w:pPr>
            <w:r>
              <w:rPr>
                <w:b w:val="0"/>
                <w:sz w:val="17"/>
              </w:rPr>
              <w:t>{4}</w:t>
            </w:r>
          </w:p>
        </w:tc>
        <w:tc>
          <w:tcPr>
            <w:tcW w:type="dxa" w:w="3900"/>
            <w:vAlign w:val="center"/>
            <w:tcMar>
              <w:top w:w="80" w:type="dxa"/>
              <w:start w:w="120" w:type="dxa"/>
              <w:bottom w:w="80" w:type="dxa"/>
              <w:end w:w="120" w:type="dxa"/>
            </w:tcMar>
          </w:tcPr>
          <w:p>
            <w:pPr>
              <w:spacing w:after="40"/>
              <w:jc w:val="center"/>
            </w:pPr>
            <w:r>
              <w:rPr>
                <w:b w:val="0"/>
                <w:sz w:val="17"/>
              </w:rPr>
              <w:t>{AC0, AC1, EDGE}</w:t>
            </w:r>
          </w:p>
        </w:tc>
        <w:tc>
          <w:tcPr>
            <w:tcW w:type="dxa" w:w="1680"/>
            <w:vAlign w:val="center"/>
            <w:tcMar>
              <w:top w:w="80" w:type="dxa"/>
              <w:start w:w="120" w:type="dxa"/>
              <w:bottom w:w="80" w:type="dxa"/>
              <w:end w:w="120" w:type="dxa"/>
            </w:tcMar>
          </w:tcPr>
          <w:p>
            <w:pPr>
              <w:spacing w:after="40"/>
              <w:jc w:val="center"/>
            </w:pPr>
            <w:r>
              <w:rPr>
                <w:b w:val="0"/>
                <w:sz w:val="17"/>
              </w:rPr>
              <w:t>+0.01041</w:t>
            </w:r>
          </w:p>
        </w:tc>
        <w:tc>
          <w:tcPr>
            <w:tcW w:type="dxa" w:w="1680"/>
            <w:vAlign w:val="center"/>
            <w:tcMar>
              <w:top w:w="80" w:type="dxa"/>
              <w:start w:w="120" w:type="dxa"/>
              <w:bottom w:w="80" w:type="dxa"/>
              <w:end w:w="120" w:type="dxa"/>
            </w:tcMar>
          </w:tcPr>
          <w:p>
            <w:pPr>
              <w:spacing w:after="40"/>
              <w:jc w:val="center"/>
            </w:pPr>
            <w:r>
              <w:rPr>
                <w:b w:val="0"/>
                <w:sz w:val="17"/>
              </w:rPr>
              <w:t>+0.01683</w:t>
            </w:r>
          </w:p>
        </w:tc>
      </w:tr>
    </w:tbl>
    <w:p>
      <w:pPr>
        <w:spacing w:after="0"/>
      </w:pPr>
    </w:p>
    <w:p>
      <w:pPr>
        <w:pStyle w:val="Heading1"/>
      </w:pPr>
      <w:r>
        <w:t>Interpretation</w:t>
      </w:r>
    </w:p>
    <w:p>
      <w:r>
        <w:t>The earlier template signal was not dependent on an opaque interaction between run length and the closing anchor. It decomposes into two independent, weak structural cues. Each cue is reproducible enough to beat an equally searched shuffled control, but neither is information-dense enough to qualify as a parsimonious grammar under the present MDL rule.</w:t>
      </w:r>
    </w:p>
    <w:p>
      <w:r>
        <w:t>This is structural evidence only. It does not identify a language, translation, cipher, author, or intended meaning. The correct claim is narrower: segment length state and segment closure each carry small, forward-looking information about the next broad class across the manuscript’s contributor blocks.</w:t>
      </w:r>
    </w:p>
    <w:p>
      <w:pPr>
        <w:pStyle w:val="Heading1"/>
      </w:pPr>
      <w:r>
        <w:t>Next decisive test</w:t>
      </w:r>
    </w:p>
    <w:p>
      <w:r>
        <w:t>Reduce each mechanism from a three-direction four-class adjustment to a one-coefficient directional contrast. Training pages may identify one target class versus the remaining classes; the held-out model receives one scalar slope, and every null must repeat target-class and category-merge discovery. Holm correction remains mandatory.</w:t>
      </w:r>
    </w:p>
    <w:p>
      <w:r>
        <w:t>The one-coefficient MDL charge is approximately one third of the current charge. If either candidate retains most of its raw gain, it can cross zero and become the first compact mechanism above the role baseline. If both collapse, their information is genuinely distributed across several next-class directions and cannot be compressed further without losing the effect.</w:t>
      </w:r>
    </w:p>
    <w:p>
      <w:pPr>
        <w:pStyle w:val="Heading2"/>
      </w:pPr>
      <w:r>
        <w:t>Sealed receipt</w:t>
      </w:r>
    </w:p>
    <w:p>
      <w:r>
        <w:t>Decision: NO_ONE_FEATURE_MECHANISM_CLEARED_ALL_GATES</w:t>
      </w:r>
    </w:p>
    <w:p>
      <w:r>
        <w:t>Specification hash: 2f074b0a36aaa5372033cec3fd7e64cffadc386ab59c9bc458aadadbbc877613</w:t>
      </w:r>
    </w:p>
    <w:p>
      <w:r>
        <w:t>Terminal hash: 56ba7a6e4dfaf863cc84e41f18181b96aa243697ad069355af59f5bb6085896f</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v8.17  |  17 August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77A"/>
        <w:sz w:val="18"/>
      </w:rPr>
      <w:t>ABAD ADAPTIVE ZD30  |  ONE-FEATURE DUEL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120" w:line="264" w:lineRule="auto"/>
    </w:pPr>
    <w:rPr>
      <w:rFonts w:ascii="Calibri" w:hAnsi="Calibri"/>
      <w:b w:val="0"/>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64" w:lineRule="auto"/>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line="264" w:lineRule="auto"/>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100" w:line="264" w:lineRule="auto" w:before="0"/>
      <w:contextualSpacing/>
    </w:pPr>
    <w:rPr>
      <w:rFonts w:asciiTheme="majorHAnsi" w:eastAsiaTheme="majorEastAsia" w:hAnsiTheme="majorHAnsi" w:cstheme="majorBidi" w:ascii="Calibri" w:hAnsi="Calibri"/>
      <w:b/>
      <w:color w:val="0B254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before="0" w:after="280" w:line="264" w:lineRule="auto"/>
    </w:pPr>
    <w:rPr>
      <w:rFonts w:asciiTheme="majorHAnsi" w:eastAsiaTheme="majorEastAsia" w:hAnsiTheme="majorHAnsi" w:cstheme="majorBidi" w:ascii="Calibri" w:hAnsi="Calibri"/>
      <w:b w:val="0"/>
      <w:i/>
      <w:iCs/>
      <w:color w:val="5B677A"/>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