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rPr>
          <w:b/>
          <w:color w:val="173F5F"/>
          <w:sz w:val="48"/>
        </w:rPr>
        <w:t>MASTER EVALUATION REPORT</w:t>
      </w:r>
    </w:p>
    <w:p>
      <w:pPr>
        <w:jc w:val="center"/>
      </w:pPr>
      <w:r>
        <w:rPr>
          <w:b/>
          <w:color w:val="2E5D7B"/>
          <w:sz w:val="34"/>
        </w:rPr>
        <w:t>ABAD, Universal Harmonics, Aziel Sequence,</w:t>
        <w:br/>
        <w:t>Madhava–Leibniz, and Zero Dark Thirty Applied to the Voynich Manuscript</w:t>
      </w:r>
    </w:p>
    <w:p>
      <w:pPr>
        <w:spacing w:before="440"/>
        <w:jc w:val="center"/>
      </w:pPr>
      <w:r>
        <w:rPr>
          <w:i/>
          <w:sz w:val="24"/>
        </w:rPr>
        <w:t>Independent reconstruction, computational testing, and implications</w:t>
      </w:r>
    </w:p>
    <w:p>
      <w:pPr>
        <w:spacing w:before="1400"/>
        <w:jc w:val="center"/>
      </w:pPr>
      <w:r>
        <w:rPr>
          <w:sz w:val="21"/>
        </w:rPr>
        <w:t>Evaluation date: 12 August 2026</w:t>
        <w:br/>
        <w:t>Source corpus: Beinecke MS 408, EVA/IVTFF transliteration</w:t>
        <w:br/>
        <w:t>Status: Structural signal detected; plaintext not recovered</w:t>
      </w:r>
    </w:p>
    <w:p>
      <w:r>
        <w:br w:type="page"/>
      </w:r>
    </w:p>
    <w:p>
      <w:pPr>
        <w:pStyle w:val="Heading1"/>
      </w:pPr>
      <w:r>
        <w:t>Executive Summary</w:t>
      </w:r>
    </w:p>
    <w:p>
      <w:r>
        <w:t>This revised report documents an independent attempt to reproduce and extend the proposed ABAD analysis of the Voynich Manuscript by combining the ABAD edge-state methodology, the Universal Linguistic Harmonic Code (7–φ–49), conventional statistical controls, language-model cryptanalysis, the Aziel Sequence 1→3→7→12→40→49→70, the Madhava–Leibniz series for π, the Zero Dark Thirty multi-lock framework, a stacked ABAD→harmonic→ZD30 pipeline, and a forward/return cross-ledger test.</w:t>
      </w:r>
    </w:p>
    <w:p>
      <w:r>
        <w:t>The central result is mixed but clear: the Voynich transcription contains strong, measurable morphological and local recurrence structure, and edge-based clustering identifies distinct token families. The cross-ledger optimization also generated a reproducible English-looking pair, qoky→care and qokain→caring. That pair is a genuine property of the frozen substitution, not a transcription typo. However, controlled testing shows that English-looking families can arise from an English-optimized substitution without yielding a unique or predictive plaintext. The evidence supports ABAD as exploratory structural analysis; it does not presently establish a full English decryption.</w:t>
      </w:r>
    </w:p>
    <w:tbl>
      <w:tblPr>
        <w:tblStyle w:val="TableGrid"/>
        <w:tblW w:type="dxa" w:w="8800"/>
        <w:jc w:val="center"/>
        <w:tblLayout w:type="fixed"/>
        <w:tblLook w:firstColumn="1" w:firstRow="1" w:lastColumn="0" w:lastRow="0" w:noHBand="0" w:noVBand="1" w:val="04A0"/>
      </w:tblPr>
      <w:tblGrid>
        <w:gridCol w:w="1900"/>
        <w:gridCol w:w="5000"/>
        <w:gridCol w:w="1900"/>
      </w:tblGrid>
      <w:tr>
        <w:tc>
          <w:tcPr>
            <w:tcW w:type="dxa" w:w="1900"/>
            <w:shd w:fill="E8EEF5"/>
          </w:tcPr>
          <w:p>
            <w:pPr>
              <w:keepNext/>
            </w:pPr>
            <w:r>
              <w:rPr>
                <w:b/>
                <w:sz w:val="18"/>
              </w:rPr>
              <w:t>Question</w:t>
            </w:r>
          </w:p>
        </w:tc>
        <w:tc>
          <w:tcPr>
            <w:tcW w:type="dxa" w:w="5000"/>
            <w:shd w:fill="E8EEF5"/>
          </w:tcPr>
          <w:p>
            <w:pPr>
              <w:keepNext/>
            </w:pPr>
            <w:r>
              <w:rPr>
                <w:b/>
                <w:sz w:val="18"/>
              </w:rPr>
              <w:t>Finding</w:t>
            </w:r>
          </w:p>
        </w:tc>
        <w:tc>
          <w:tcPr>
            <w:tcW w:type="dxa" w:w="1900"/>
            <w:shd w:fill="E8EEF5"/>
          </w:tcPr>
          <w:p>
            <w:pPr>
              <w:keepNext/>
            </w:pPr>
            <w:r>
              <w:rPr>
                <w:b/>
                <w:sz w:val="18"/>
              </w:rPr>
              <w:t>Assessment</w:t>
            </w:r>
          </w:p>
        </w:tc>
      </w:tr>
      <w:tr>
        <w:tc>
          <w:tcPr>
            <w:tcW w:type="dxa" w:w="1900"/>
            <w:vAlign w:val="center"/>
          </w:tcPr>
          <w:p>
            <w:pPr>
              <w:keepLines/>
              <w:spacing w:after="40"/>
            </w:pPr>
            <w:r>
              <w:rPr>
                <w:sz w:val="18"/>
              </w:rPr>
              <w:t>Is the text structured?</w:t>
            </w:r>
          </w:p>
        </w:tc>
        <w:tc>
          <w:tcPr>
            <w:tcW w:type="dxa" w:w="5000"/>
            <w:vAlign w:val="center"/>
          </w:tcPr>
          <w:p>
            <w:pPr>
              <w:keepLines/>
              <w:spacing w:after="40"/>
            </w:pPr>
            <w:r>
              <w:rPr>
                <w:sz w:val="18"/>
              </w:rPr>
              <w:t>Yes—strong token families, constrained edges, and local recurrence.</w:t>
            </w:r>
          </w:p>
        </w:tc>
        <w:tc>
          <w:tcPr>
            <w:tcW w:type="dxa" w:w="1900"/>
            <w:vAlign w:val="center"/>
          </w:tcPr>
          <w:p>
            <w:pPr>
              <w:keepLines/>
              <w:spacing w:after="40"/>
            </w:pPr>
            <w:r>
              <w:rPr>
                <w:sz w:val="18"/>
              </w:rPr>
              <w:t>Supported</w:t>
            </w:r>
          </w:p>
        </w:tc>
      </w:tr>
      <w:tr>
        <w:tc>
          <w:tcPr>
            <w:tcW w:type="dxa" w:w="1900"/>
            <w:vAlign w:val="center"/>
          </w:tcPr>
          <w:p>
            <w:pPr>
              <w:spacing w:after="40"/>
            </w:pPr>
            <w:r>
              <w:rPr>
                <w:sz w:val="18"/>
              </w:rPr>
              <w:t>Is A-B-A-D sequencing detectable?</w:t>
            </w:r>
          </w:p>
        </w:tc>
        <w:tc>
          <w:tcPr>
            <w:tcW w:type="dxa" w:w="5000"/>
            <w:vAlign w:val="center"/>
          </w:tcPr>
          <w:p>
            <w:pPr>
              <w:spacing w:after="40"/>
            </w:pPr>
            <w:r>
              <w:rPr>
                <w:sz w:val="18"/>
              </w:rPr>
              <w:t>A candidate motif was modestly enriched (best z≈2.83).</w:t>
            </w:r>
          </w:p>
        </w:tc>
        <w:tc>
          <w:tcPr>
            <w:tcW w:type="dxa" w:w="1900"/>
            <w:vAlign w:val="center"/>
          </w:tcPr>
          <w:p>
            <w:pPr>
              <w:spacing w:after="40"/>
            </w:pPr>
            <w:r>
              <w:rPr>
                <w:sz w:val="18"/>
              </w:rPr>
              <w:t>Tentative</w:t>
            </w:r>
          </w:p>
        </w:tc>
      </w:tr>
      <w:tr>
        <w:tc>
          <w:tcPr>
            <w:tcW w:type="dxa" w:w="1900"/>
            <w:vAlign w:val="center"/>
          </w:tcPr>
          <w:p>
            <w:pPr>
              <w:spacing w:after="40"/>
            </w:pPr>
            <w:r>
              <w:rPr>
                <w:sz w:val="18"/>
              </w:rPr>
              <w:t>Are 7, φ, and 49 uniquely privileged?</w:t>
            </w:r>
          </w:p>
        </w:tc>
        <w:tc>
          <w:tcPr>
            <w:tcW w:type="dxa" w:w="5000"/>
            <w:vAlign w:val="center"/>
          </w:tcPr>
          <w:p>
            <w:pPr>
              <w:spacing w:after="40"/>
            </w:pPr>
            <w:r>
              <w:rPr>
                <w:sz w:val="18"/>
              </w:rPr>
              <w:t>No. Lag 7 ranked 11th; lag 49 ranked 40th in a 1–100 scan.</w:t>
            </w:r>
          </w:p>
        </w:tc>
        <w:tc>
          <w:tcPr>
            <w:tcW w:type="dxa" w:w="1900"/>
            <w:vAlign w:val="center"/>
          </w:tcPr>
          <w:p>
            <w:pPr>
              <w:spacing w:after="40"/>
            </w:pPr>
            <w:r>
              <w:rPr>
                <w:sz w:val="18"/>
              </w:rPr>
              <w:t>Not supported</w:t>
            </w:r>
          </w:p>
        </w:tc>
      </w:tr>
      <w:tr>
        <w:tc>
          <w:tcPr>
            <w:tcW w:type="dxa" w:w="1900"/>
            <w:vAlign w:val="center"/>
          </w:tcPr>
          <w:p>
            <w:pPr>
              <w:spacing w:after="40"/>
            </w:pPr>
            <w:r>
              <w:rPr>
                <w:sz w:val="18"/>
              </w:rPr>
              <w:t>Do the extended numeric systems isolate plaintext?</w:t>
            </w:r>
          </w:p>
        </w:tc>
        <w:tc>
          <w:tcPr>
            <w:tcW w:type="dxa" w:w="5000"/>
            <w:vAlign w:val="center"/>
          </w:tcPr>
          <w:p>
            <w:pPr>
              <w:spacing w:after="40"/>
            </w:pPr>
            <w:r>
              <w:rPr>
                <w:sz w:val="18"/>
              </w:rPr>
              <w:t>No under Aziel, Madhava–Leibniz, ZD30, or the stacked pipeline.</w:t>
            </w:r>
          </w:p>
        </w:tc>
        <w:tc>
          <w:tcPr>
            <w:tcW w:type="dxa" w:w="1900"/>
            <w:vAlign w:val="center"/>
          </w:tcPr>
          <w:p>
            <w:pPr>
              <w:spacing w:after="40"/>
            </w:pPr>
            <w:r>
              <w:rPr>
                <w:sz w:val="18"/>
              </w:rPr>
              <w:t>Not supported</w:t>
            </w:r>
          </w:p>
        </w:tc>
      </w:tr>
      <w:tr>
        <w:tc>
          <w:tcPr>
            <w:tcW w:type="dxa" w:w="1900"/>
            <w:vAlign w:val="center"/>
          </w:tcPr>
          <w:p>
            <w:pPr>
              <w:spacing w:after="40"/>
            </w:pPr>
            <w:r>
              <w:rPr>
                <w:sz w:val="18"/>
              </w:rPr>
              <w:t>Was readable English recovered?</w:t>
            </w:r>
          </w:p>
        </w:tc>
        <w:tc>
          <w:tcPr>
            <w:tcW w:type="dxa" w:w="5000"/>
            <w:vAlign w:val="center"/>
          </w:tcPr>
          <w:p>
            <w:pPr>
              <w:spacing w:after="40"/>
            </w:pPr>
            <w:r>
              <w:rPr>
                <w:sz w:val="18"/>
              </w:rPr>
              <w:t>One stable pair, care/caring, was recovered under a frozen mapping; the surrounding output and controls did not validate plaintext.</w:t>
            </w:r>
          </w:p>
        </w:tc>
        <w:tc>
          <w:tcPr>
            <w:tcW w:type="dxa" w:w="1900"/>
            <w:vAlign w:val="center"/>
          </w:tcPr>
          <w:p>
            <w:pPr>
              <w:spacing w:after="40"/>
            </w:pPr>
            <w:r>
              <w:rPr>
                <w:sz w:val="18"/>
              </w:rPr>
              <w:t>Isolated hit; not a decryption</w:t>
            </w:r>
          </w:p>
        </w:tc>
      </w:tr>
    </w:tbl>
    <w:p>
      <w:pPr>
        <w:pStyle w:val="Heading2"/>
      </w:pPr>
      <w:r>
        <w:t>Principal Implication</w:t>
      </w:r>
    </w:p>
    <w:p>
      <w:r>
        <w:t>The strongest defensible interpretation is that the framework has identified genuine regularities in Voynichese morphology and layout, while the semantic step remains unresolved. Structural coherence must not be treated as equivalent to decryption. A valid decipherment must specify a deterministic glyph-to-output procedure and predict previously unseen text without changing rules or selecting meanings from illustrations after the fact.</w:t>
      </w:r>
    </w:p>
    <w:p>
      <w:pPr>
        <w:pStyle w:val="Heading1"/>
      </w:pPr>
      <w:r>
        <w:t>1. Scope and Research Question</w:t>
      </w:r>
    </w:p>
    <w:p>
      <w:r>
        <w:t>The investigation asked whether the supplied ABAD methodology, strengthened by the universal harmonic protocol and the Aziel numeric sequence, could generate a full semantic decryption of the Voynich Manuscript. The work was deliberately structured to separate three claims:</w:t>
      </w:r>
    </w:p>
    <w:p>
      <w:pPr>
        <w:pStyle w:val="ListBullet"/>
      </w:pPr>
      <w:r>
        <w:t>Structural claim: Voynichese contains non-random layers, boundaries, recurrence, and morphological states.</w:t>
      </w:r>
    </w:p>
    <w:p>
      <w:pPr>
        <w:pStyle w:val="ListBullet"/>
      </w:pPr>
      <w:r>
        <w:t>Harmonic claim: 7, φ≈1.618, and 49 organize the text more strongly than reasonable alternatives.</w:t>
      </w:r>
    </w:p>
    <w:p>
      <w:pPr>
        <w:pStyle w:val="ListBullet"/>
      </w:pPr>
      <w:r>
        <w:t>Decryption claim: those structures determine a unique, reproducible plaintext.</w:t>
      </w:r>
    </w:p>
    <w:p>
      <w:r>
        <w:t>A configuration was considered a decryption only if its mapping could be frozen on a training portion of the manuscript, applied unchanged to withheld folios, and produce traceable language whose words could be mapped backward to exact source tokens.</w:t>
      </w:r>
    </w:p>
    <w:p>
      <w:pPr>
        <w:pStyle w:val="Heading1"/>
      </w:pPr>
      <w:r>
        <w:t>2. Materials Examined</w:t>
      </w:r>
    </w:p>
    <w:p>
      <w:r>
        <w:t>The evaluation used the 209-page manuscript scan, the IVTFF 2.0.2 format specification, a complete published EVA/IVTFF transcription, and the supplied Aziel/ABAD reports and software package. Principal materials included:</w:t>
      </w:r>
    </w:p>
    <w:p>
      <w:pPr>
        <w:pStyle w:val="ListBullet"/>
      </w:pPr>
      <w:r>
        <w:t>Universal Linguistic Harmonic Code—Cross-Language Protocol &amp; Feasibility.</w:t>
      </w:r>
    </w:p>
    <w:p>
      <w:pPr>
        <w:pStyle w:val="ListBullet"/>
      </w:pPr>
      <w:r>
        <w:t>ABAD Framework Paper 1: Core Methodology; Paper 2: Voynich application; Paper 3: Master Compendium; Paper 4: Confidence Assessment Addendum.</w:t>
      </w:r>
    </w:p>
    <w:p>
      <w:pPr>
        <w:pStyle w:val="ListBullet"/>
      </w:pPr>
      <w:r>
        <w:t>Aziel Voynich Golden Ratio ABAD Test Method v3.0 and v3.3; New Transcription ABAD Report v3.4.</w:t>
      </w:r>
    </w:p>
    <w:p>
      <w:pPr>
        <w:pStyle w:val="ListBullet"/>
      </w:pPr>
      <w:r>
        <w:t>Voynich ABAD Reproducible summary, Master Decryption Report, claimed Full Translation file, and abad-framework v0.2.0 source package.</w:t>
      </w:r>
    </w:p>
    <w:p>
      <w:pPr>
        <w:pStyle w:val="ListBullet"/>
      </w:pPr>
      <w:r>
        <w:t>Aziel Sequence 1→3→7→12→40→49→70 and the associated Corkscrew Lens concept: forward motion, cyclical return, ascension, and inversion.</w:t>
      </w:r>
    </w:p>
    <w:p>
      <w:pPr>
        <w:pStyle w:val="Heading1"/>
      </w:pPr>
      <w:r>
        <w:t>3. Reproducibility Audit of the Supplied Framework</w:t>
      </w:r>
    </w:p>
    <w:p>
      <w:pPr>
        <w:pStyle w:val="Heading2"/>
      </w:pPr>
      <w:r>
        <w:t>3.1 What the technical ABAD method actually specifies</w:t>
      </w:r>
    </w:p>
    <w:p>
      <w:r>
        <w:t>The most technically cautious ABAD papers define an observation-only workflow: read left-to-right and top-to-bottom; classify tokens using beginnings and endings; isolate candidate A, B, and residual D streams; preserve line/page boundaries; investigate multi-spacing and proposed flip points; and examine middle-string deviation around transitions. The v3.0 and v3.3 papers explicitly state that no readable plaintext or confirmed external key was found.</w:t>
      </w:r>
    </w:p>
    <w:p>
      <w:pPr>
        <w:pStyle w:val="Heading2"/>
      </w:pPr>
      <w:r>
        <w:t>3.2 Missing operational definitions</w:t>
      </w:r>
    </w:p>
    <w:p>
      <w:pPr>
        <w:pStyle w:val="ListBullet"/>
      </w:pPr>
      <w:r>
        <w:t>No numerical weights assign qo-, gallows, ch/sh/cth, or endings to A versus B.</w:t>
      </w:r>
    </w:p>
    <w:p>
      <w:pPr>
        <w:pStyle w:val="ListBullet"/>
      </w:pPr>
      <w:r>
        <w:t>No deterministic tie-breaking rule defines D as distinct from A or B.</w:t>
      </w:r>
    </w:p>
    <w:p>
      <w:pPr>
        <w:pStyle w:val="ListBullet"/>
      </w:pPr>
      <w:r>
        <w:t>GH7, Echo_7phiK, AZL_7phiK, and CorrectiveLens_v2 are named but not fully defined mathematically.</w:t>
      </w:r>
    </w:p>
    <w:p>
      <w:pPr>
        <w:pStyle w:val="ListBullet"/>
      </w:pPr>
      <w:r>
        <w:t>No fixed glyph, phoneme, syllable, word, or grammatical mapping converts structural states into plaintext.</w:t>
      </w:r>
    </w:p>
    <w:p>
      <w:pPr>
        <w:pStyle w:val="ListBullet"/>
      </w:pPr>
      <w:r>
        <w:t>The referenced normalizer and analysis program azl_voynich_mobile_xlit_fixed.py was not present in the supplied software archive.</w:t>
      </w:r>
    </w:p>
    <w:p>
      <w:pPr>
        <w:pStyle w:val="Heading2"/>
      </w:pPr>
      <w:r>
        <w:t>3.3 Software audit</w:t>
      </w:r>
    </w:p>
    <w:p>
      <w:r>
        <w:t>The supplied abad-framework v0.2.0 ZIP is an unfinished scaffold rather than a decoder. Its processor copies the input into a “Literal” layer, prefixes part of the same input with “Symbolic interpretation,” and inserts one midpoint flip when the input exceeds ten words. Confidence values are hard-coded. The documented command fails because of missing functions and incompatible class methods. Repairing those programming errors would not add decoding logic that is absent from the source.</w:t>
      </w:r>
    </w:p>
    <w:p>
      <w:pPr>
        <w:pStyle w:val="Heading2"/>
      </w:pPr>
      <w:r>
        <w:t>3.4 Documentary contradictions</w:t>
      </w:r>
    </w:p>
    <w:tbl>
      <w:tblPr>
        <w:tblStyle w:val="TableGrid"/>
        <w:tblW w:type="dxa" w:w="8800"/>
        <w:jc w:val="center"/>
        <w:tblLayout w:type="fixed"/>
        <w:tblLook w:firstColumn="1" w:firstRow="1" w:lastColumn="0" w:lastRow="0" w:noHBand="0" w:noVBand="1" w:val="04A0"/>
      </w:tblPr>
      <w:tblGrid>
        <w:gridCol w:w="3000"/>
        <w:gridCol w:w="5800"/>
      </w:tblGrid>
      <w:tr>
        <w:tc>
          <w:tcPr>
            <w:tcW w:type="dxa" w:w="3000"/>
            <w:shd w:fill="E8EEF5"/>
          </w:tcPr>
          <w:p>
            <w:pPr>
              <w:keepNext/>
            </w:pPr>
            <w:r>
              <w:rPr>
                <w:b/>
                <w:sz w:val="18"/>
              </w:rPr>
              <w:t>Document/date</w:t>
            </w:r>
          </w:p>
        </w:tc>
        <w:tc>
          <w:tcPr>
            <w:tcW w:type="dxa" w:w="5800"/>
            <w:shd w:fill="E8EEF5"/>
          </w:tcPr>
          <w:p>
            <w:pPr>
              <w:keepNext/>
            </w:pPr>
            <w:r>
              <w:rPr>
                <w:b/>
                <w:sz w:val="18"/>
              </w:rPr>
              <w:t>Statement</w:t>
            </w:r>
          </w:p>
        </w:tc>
      </w:tr>
      <w:tr>
        <w:tc>
          <w:tcPr>
            <w:tcW w:type="dxa" w:w="3000"/>
            <w:vAlign w:val="center"/>
          </w:tcPr>
          <w:p>
            <w:pPr>
              <w:keepLines/>
              <w:spacing w:after="40"/>
            </w:pPr>
            <w:r>
              <w:rPr>
                <w:sz w:val="18"/>
              </w:rPr>
              <w:t>Golden Ratio ABAD v3.0 — 9 Jul 2026, 18:18</w:t>
            </w:r>
          </w:p>
        </w:tc>
        <w:tc>
          <w:tcPr>
            <w:tcW w:type="dxa" w:w="5800"/>
            <w:vAlign w:val="center"/>
          </w:tcPr>
          <w:p>
            <w:pPr>
              <w:keepLines/>
              <w:spacing w:after="40"/>
            </w:pPr>
            <w:r>
              <w:rPr>
                <w:sz w:val="18"/>
              </w:rPr>
              <w:t>“No readable plaintext found under any configuration.”</w:t>
            </w:r>
          </w:p>
        </w:tc>
      </w:tr>
      <w:tr>
        <w:tc>
          <w:tcPr>
            <w:tcW w:type="dxa" w:w="3000"/>
            <w:vAlign w:val="center"/>
          </w:tcPr>
          <w:p>
            <w:pPr>
              <w:spacing w:after="40"/>
            </w:pPr>
            <w:r>
              <w:rPr>
                <w:sz w:val="18"/>
              </w:rPr>
              <w:t>Golden Ratio ABAD v3.3 — 9 Jul 2026, 19:17</w:t>
            </w:r>
          </w:p>
        </w:tc>
        <w:tc>
          <w:tcPr>
            <w:tcW w:type="dxa" w:w="5800"/>
            <w:vAlign w:val="center"/>
          </w:tcPr>
          <w:p>
            <w:pPr>
              <w:spacing w:after="40"/>
            </w:pPr>
            <w:r>
              <w:rPr>
                <w:sz w:val="18"/>
              </w:rPr>
              <w:t>No readable plaintext or confirmed external key found.</w:t>
            </w:r>
          </w:p>
        </w:tc>
      </w:tr>
      <w:tr>
        <w:tc>
          <w:tcPr>
            <w:tcW w:type="dxa" w:w="3000"/>
            <w:vAlign w:val="center"/>
          </w:tcPr>
          <w:p>
            <w:pPr>
              <w:spacing w:after="40"/>
            </w:pPr>
            <w:r>
              <w:rPr>
                <w:sz w:val="18"/>
              </w:rPr>
              <w:t>New Transcription v3.4 — 9 Jul 2026, 20:01</w:t>
            </w:r>
          </w:p>
        </w:tc>
        <w:tc>
          <w:tcPr>
            <w:tcW w:type="dxa" w:w="5800"/>
            <w:vAlign w:val="center"/>
          </w:tcPr>
          <w:p>
            <w:pPr>
              <w:spacing w:after="40"/>
            </w:pPr>
            <w:r>
              <w:rPr>
                <w:sz w:val="18"/>
              </w:rPr>
              <w:t>Recommends future targeted translation attempts.</w:t>
            </w:r>
          </w:p>
        </w:tc>
      </w:tr>
      <w:tr>
        <w:tc>
          <w:tcPr>
            <w:tcW w:type="dxa" w:w="3000"/>
            <w:vAlign w:val="center"/>
          </w:tcPr>
          <w:p>
            <w:pPr>
              <w:spacing w:after="40"/>
            </w:pPr>
            <w:r>
              <w:rPr>
                <w:sz w:val="18"/>
              </w:rPr>
              <w:t>Master Decryption Report — 10 Jul 2026</w:t>
            </w:r>
          </w:p>
        </w:tc>
        <w:tc>
          <w:tcPr>
            <w:tcW w:type="dxa" w:w="5800"/>
            <w:vAlign w:val="center"/>
          </w:tcPr>
          <w:p>
            <w:pPr>
              <w:spacing w:after="40"/>
            </w:pPr>
            <w:r>
              <w:rPr>
                <w:sz w:val="18"/>
              </w:rPr>
              <w:t>Claims coherent English across all 209 pages.</w:t>
            </w:r>
          </w:p>
        </w:tc>
      </w:tr>
    </w:tbl>
    <w:p>
      <w:r>
        <w:t>No intervening key discovery, executable algorithm, worked token derivation, or page-level translation was supplied to explain the transition from “no plaintext” to “all 209 pages translated.” The file titled Voynich_ABAD_Framework_Full_Translation.pdf was plain text, not a PDF, and contained a placeholder where the translation was said to belong.</w:t>
      </w:r>
    </w:p>
    <w:p>
      <w:pPr>
        <w:pStyle w:val="Heading1"/>
      </w:pPr>
      <w:r>
        <w:t>4. Corpus Preparation</w:t>
      </w:r>
    </w:p>
    <w:p>
      <w:r>
        <w:t>A single internally consistent EVA/IVTFF transcription was parsed to avoid mixing transcribers. Comments, locus metadata, uncertain alternatives, ligature notation, and drawing intrusions were normalized conservatively. The resulting test corpus contained approximately 38,800 tokens and about 8,100 distinct token types. The manuscript scan was retained for visual alignment, but illustrations were not used to choose English meanings during validation because doing so would make the semantic test circular.</w:t>
      </w:r>
    </w:p>
    <w:p>
      <w:r>
        <w:t>An important formatting limitation was identified: in IVTFF, a period represents a word space and a comma represents an uncertain word space. These symbols are not sentence punctuation. Therefore, the universal protocol’s clause-ratio φ test cannot validly treat IVTFF commas as commas separating natural-language clauses.</w:t>
      </w:r>
    </w:p>
    <w:p>
      <w:pPr>
        <w:pStyle w:val="Heading1"/>
      </w:pPr>
      <w:r>
        <w:t>5. ABAD Edge-State Experiment</w:t>
      </w:r>
    </w:p>
    <w:p>
      <w:r>
        <w:t>Because the reports did not provide numerical state weights, a frozen, data-driven operationalization was used. Tokens were represented by the stated beginning and ending features—qo-, ch-, sh-, cth-, gallows-related initials, -dy/-edy, -ain/-aiin, -y, and related edge families—plus normalized length and character-diversity measures. Three clusters were fitted without semantic labels. All six possible assignments of those clusters to an A-B-A-D-shaped motif were then compared with first-order Markov simulations.</w:t>
      </w:r>
    </w:p>
    <w:tbl>
      <w:tblPr>
        <w:tblStyle w:val="TableGrid"/>
        <w:tblW w:type="dxa" w:w="8800"/>
        <w:jc w:val="center"/>
        <w:tblLayout w:type="fixed"/>
        <w:tblLook w:firstColumn="1" w:firstRow="1" w:lastColumn="0" w:lastRow="0" w:noHBand="0" w:noVBand="1" w:val="04A0"/>
      </w:tblPr>
      <w:tblGrid>
        <w:gridCol w:w="2500"/>
        <w:gridCol w:w="2600"/>
        <w:gridCol w:w="3700"/>
      </w:tblGrid>
      <w:tr>
        <w:tc>
          <w:tcPr>
            <w:tcW w:type="dxa" w:w="2500"/>
            <w:shd w:fill="E8EEF5"/>
          </w:tcPr>
          <w:p>
            <w:pPr>
              <w:keepNext/>
            </w:pPr>
            <w:r>
              <w:rPr>
                <w:b/>
                <w:sz w:val="18"/>
              </w:rPr>
              <w:t>Measure</w:t>
            </w:r>
          </w:p>
        </w:tc>
        <w:tc>
          <w:tcPr>
            <w:tcW w:type="dxa" w:w="2600"/>
            <w:shd w:fill="E8EEF5"/>
          </w:tcPr>
          <w:p>
            <w:pPr>
              <w:keepNext/>
            </w:pPr>
            <w:r>
              <w:rPr>
                <w:b/>
                <w:sz w:val="18"/>
              </w:rPr>
              <w:t>Result</w:t>
            </w:r>
          </w:p>
        </w:tc>
        <w:tc>
          <w:tcPr>
            <w:tcW w:type="dxa" w:w="3700"/>
            <w:shd w:fill="E8EEF5"/>
          </w:tcPr>
          <w:p>
            <w:pPr>
              <w:keepNext/>
            </w:pPr>
            <w:r>
              <w:rPr>
                <w:b/>
                <w:sz w:val="18"/>
              </w:rPr>
              <w:t>Interpretation</w:t>
            </w:r>
          </w:p>
        </w:tc>
      </w:tr>
      <w:tr>
        <w:tc>
          <w:tcPr>
            <w:tcW w:type="dxa" w:w="2500"/>
            <w:vAlign w:val="center"/>
          </w:tcPr>
          <w:p>
            <w:pPr>
              <w:keepLines/>
              <w:spacing w:after="40"/>
            </w:pPr>
            <w:r>
              <w:rPr>
                <w:sz w:val="18"/>
              </w:rPr>
              <w:t>Candidate cluster sizes</w:t>
            </w:r>
          </w:p>
        </w:tc>
        <w:tc>
          <w:tcPr>
            <w:tcW w:type="dxa" w:w="2600"/>
            <w:vAlign w:val="center"/>
          </w:tcPr>
          <w:p>
            <w:pPr>
              <w:keepLines/>
              <w:spacing w:after="40"/>
            </w:pPr>
            <w:r>
              <w:rPr>
                <w:sz w:val="18"/>
              </w:rPr>
              <w:t>15,744 / 12,254 / 10,759</w:t>
            </w:r>
          </w:p>
        </w:tc>
        <w:tc>
          <w:tcPr>
            <w:tcW w:type="dxa" w:w="3700"/>
            <w:vAlign w:val="center"/>
          </w:tcPr>
          <w:p>
            <w:pPr>
              <w:keepLines/>
              <w:spacing w:after="40"/>
            </w:pPr>
            <w:r>
              <w:rPr>
                <w:sz w:val="18"/>
              </w:rPr>
              <w:t>Distinct edge-morphology families exist.</w:t>
            </w:r>
          </w:p>
        </w:tc>
      </w:tr>
      <w:tr>
        <w:tc>
          <w:tcPr>
            <w:tcW w:type="dxa" w:w="2500"/>
            <w:vAlign w:val="center"/>
          </w:tcPr>
          <w:p>
            <w:pPr>
              <w:spacing w:after="40"/>
            </w:pPr>
            <w:r>
              <w:rPr>
                <w:sz w:val="18"/>
              </w:rPr>
              <w:t>Best A-B-A-D-shaped motif</w:t>
            </w:r>
          </w:p>
        </w:tc>
        <w:tc>
          <w:tcPr>
            <w:tcW w:type="dxa" w:w="2600"/>
            <w:vAlign w:val="center"/>
          </w:tcPr>
          <w:p>
            <w:pPr>
              <w:spacing w:after="40"/>
            </w:pPr>
            <w:r>
              <w:rPr>
                <w:sz w:val="18"/>
              </w:rPr>
              <w:t>z≈2.83 vs Markov control</w:t>
            </w:r>
          </w:p>
        </w:tc>
        <w:tc>
          <w:tcPr>
            <w:tcW w:type="dxa" w:w="3700"/>
            <w:vAlign w:val="center"/>
          </w:tcPr>
          <w:p>
            <w:pPr>
              <w:spacing w:after="40"/>
            </w:pPr>
            <w:r>
              <w:rPr>
                <w:sz w:val="18"/>
              </w:rPr>
              <w:t>Modest higher-order enrichment.</w:t>
            </w:r>
          </w:p>
        </w:tc>
      </w:tr>
      <w:tr>
        <w:tc>
          <w:tcPr>
            <w:tcW w:type="dxa" w:w="2500"/>
            <w:vAlign w:val="center"/>
          </w:tcPr>
          <w:p>
            <w:pPr>
              <w:spacing w:after="40"/>
            </w:pPr>
            <w:r>
              <w:rPr>
                <w:sz w:val="18"/>
              </w:rPr>
              <w:t>Other labelings</w:t>
            </w:r>
          </w:p>
        </w:tc>
        <w:tc>
          <w:tcPr>
            <w:tcW w:type="dxa" w:w="2600"/>
            <w:vAlign w:val="center"/>
          </w:tcPr>
          <w:p>
            <w:pPr>
              <w:spacing w:after="40"/>
            </w:pPr>
            <w:r>
              <w:rPr>
                <w:sz w:val="18"/>
              </w:rPr>
              <w:t>z from approximately −2.23 to +1.84</w:t>
            </w:r>
          </w:p>
        </w:tc>
        <w:tc>
          <w:tcPr>
            <w:tcW w:type="dxa" w:w="3700"/>
            <w:vAlign w:val="center"/>
          </w:tcPr>
          <w:p>
            <w:pPr>
              <w:spacing w:after="40"/>
            </w:pPr>
            <w:r>
              <w:rPr>
                <w:sz w:val="18"/>
              </w:rPr>
              <w:t>Outcome depends on cluster naming.</w:t>
            </w:r>
          </w:p>
        </w:tc>
      </w:tr>
      <w:tr>
        <w:tc>
          <w:tcPr>
            <w:tcW w:type="dxa" w:w="2500"/>
            <w:vAlign w:val="center"/>
          </w:tcPr>
          <w:p>
            <w:pPr>
              <w:spacing w:after="40"/>
            </w:pPr>
            <w:r>
              <w:rPr>
                <w:sz w:val="18"/>
              </w:rPr>
              <w:t>Held-out state-only word prediction</w:t>
            </w:r>
          </w:p>
        </w:tc>
        <w:tc>
          <w:tcPr>
            <w:tcW w:type="dxa" w:w="2600"/>
            <w:vAlign w:val="center"/>
          </w:tcPr>
          <w:p>
            <w:pPr>
              <w:spacing w:after="40"/>
            </w:pPr>
            <w:r>
              <w:rPr>
                <w:sz w:val="18"/>
              </w:rPr>
              <w:t>≈2.3%</w:t>
            </w:r>
          </w:p>
        </w:tc>
        <w:tc>
          <w:tcPr>
            <w:tcW w:type="dxa" w:w="3700"/>
            <w:vAlign w:val="center"/>
          </w:tcPr>
          <w:p>
            <w:pPr>
              <w:spacing w:after="40"/>
            </w:pPr>
            <w:r>
              <w:rPr>
                <w:sz w:val="18"/>
              </w:rPr>
              <w:t>States do not determine lexical identity.</w:t>
            </w:r>
          </w:p>
        </w:tc>
      </w:tr>
    </w:tbl>
    <w:p>
      <w:r>
        <w:t>Implication: edge morphology is real, but an A-B-A-D interpretation is not uniquely selected by the data. The state pattern can organize analysis; it does not itself supply semantic content.</w:t>
      </w:r>
    </w:p>
    <w:p>
      <w:pPr>
        <w:pStyle w:val="Heading1"/>
      </w:pPr>
      <w:r>
        <w:t>6. Universal Harmonic Tests</w:t>
      </w:r>
    </w:p>
    <w:p>
      <w:pPr>
        <w:pStyle w:val="Heading2"/>
      </w:pPr>
      <w:r>
        <w:t>6.1 Lag-7 and lag-49 recurrence</w:t>
      </w:r>
    </w:p>
    <w:p>
      <w:r>
        <w:t>Rather than testing only the nominated values, all lags from 1 through 100 were scanned. Exact-token recurrence at lag 7 ranked 11th. Lag 49 ranked 40th. Stronger excess recurrence appeared at several ordinary short lags, including 2, 3, 4, 5, 6, 10, and 13.</w:t>
      </w:r>
    </w:p>
    <w:tbl>
      <w:tblPr>
        <w:tblStyle w:val="TableGrid"/>
        <w:tblW w:type="dxa" w:w="8800"/>
        <w:jc w:val="center"/>
        <w:tblLayout w:type="fixed"/>
        <w:tblLook w:firstColumn="1" w:firstRow="1" w:lastColumn="0" w:lastRow="0" w:noHBand="0" w:noVBand="1" w:val="04A0"/>
      </w:tblPr>
      <w:tblGrid>
        <w:gridCol w:w="1800"/>
        <w:gridCol w:w="4600"/>
        <w:gridCol w:w="2400"/>
      </w:tblGrid>
      <w:tr>
        <w:tc>
          <w:tcPr>
            <w:tcW w:type="dxa" w:w="1800"/>
            <w:shd w:fill="E8EEF5"/>
          </w:tcPr>
          <w:p>
            <w:pPr>
              <w:keepNext/>
            </w:pPr>
            <w:r>
              <w:rPr>
                <w:b/>
                <w:sz w:val="18"/>
              </w:rPr>
              <w:t>Target</w:t>
            </w:r>
          </w:p>
        </w:tc>
        <w:tc>
          <w:tcPr>
            <w:tcW w:type="dxa" w:w="4600"/>
            <w:shd w:fill="E8EEF5"/>
          </w:tcPr>
          <w:p>
            <w:pPr>
              <w:keepNext/>
            </w:pPr>
            <w:r>
              <w:rPr>
                <w:b/>
                <w:sz w:val="18"/>
              </w:rPr>
              <w:t>Observed result</w:t>
            </w:r>
          </w:p>
        </w:tc>
        <w:tc>
          <w:tcPr>
            <w:tcW w:type="dxa" w:w="2400"/>
            <w:shd w:fill="E8EEF5"/>
          </w:tcPr>
          <w:p>
            <w:pPr>
              <w:keepNext/>
            </w:pPr>
            <w:r>
              <w:rPr>
                <w:b/>
                <w:sz w:val="18"/>
              </w:rPr>
              <w:t>Rank among lags 1–100</w:t>
            </w:r>
          </w:p>
        </w:tc>
      </w:tr>
      <w:tr>
        <w:tc>
          <w:tcPr>
            <w:tcW w:type="dxa" w:w="1800"/>
            <w:vAlign w:val="center"/>
          </w:tcPr>
          <w:p>
            <w:pPr>
              <w:keepLines/>
              <w:spacing w:after="40"/>
            </w:pPr>
            <w:r>
              <w:rPr>
                <w:sz w:val="18"/>
              </w:rPr>
              <w:t>Lag 7</w:t>
            </w:r>
          </w:p>
        </w:tc>
        <w:tc>
          <w:tcPr>
            <w:tcW w:type="dxa" w:w="4600"/>
            <w:vAlign w:val="center"/>
          </w:tcPr>
          <w:p>
            <w:pPr>
              <w:keepLines/>
              <w:spacing w:after="40"/>
            </w:pPr>
            <w:r>
              <w:rPr>
                <w:sz w:val="18"/>
              </w:rPr>
              <w:t>Exact-token recurrence ≈0.00792–0.00820, depending on boundary handling</w:t>
            </w:r>
          </w:p>
        </w:tc>
        <w:tc>
          <w:tcPr>
            <w:tcW w:type="dxa" w:w="2400"/>
            <w:vAlign w:val="center"/>
          </w:tcPr>
          <w:p>
            <w:pPr>
              <w:keepLines/>
              <w:spacing w:after="40"/>
            </w:pPr>
            <w:r>
              <w:rPr>
                <w:sz w:val="18"/>
              </w:rPr>
              <w:t>10th–11th</w:t>
            </w:r>
          </w:p>
        </w:tc>
      </w:tr>
      <w:tr>
        <w:tc>
          <w:tcPr>
            <w:tcW w:type="dxa" w:w="1800"/>
            <w:vAlign w:val="center"/>
          </w:tcPr>
          <w:p>
            <w:pPr>
              <w:spacing w:after="40"/>
            </w:pPr>
            <w:r>
              <w:rPr>
                <w:sz w:val="18"/>
              </w:rPr>
              <w:t>Lag 49</w:t>
            </w:r>
          </w:p>
        </w:tc>
        <w:tc>
          <w:tcPr>
            <w:tcW w:type="dxa" w:w="4600"/>
            <w:vAlign w:val="center"/>
          </w:tcPr>
          <w:p>
            <w:pPr>
              <w:spacing w:after="40"/>
            </w:pPr>
            <w:r>
              <w:rPr>
                <w:sz w:val="18"/>
              </w:rPr>
              <w:t>Exact-token recurrence ≈0.00677–0.00739</w:t>
            </w:r>
          </w:p>
        </w:tc>
        <w:tc>
          <w:tcPr>
            <w:tcW w:type="dxa" w:w="2400"/>
            <w:vAlign w:val="center"/>
          </w:tcPr>
          <w:p>
            <w:pPr>
              <w:spacing w:after="40"/>
            </w:pPr>
            <w:r>
              <w:rPr>
                <w:sz w:val="18"/>
              </w:rPr>
              <w:t>34th–40th</w:t>
            </w:r>
          </w:p>
        </w:tc>
      </w:tr>
    </w:tbl>
    <w:p>
      <w:pPr>
        <w:pStyle w:val="Heading2"/>
      </w:pPr>
      <w:r>
        <w:t>6.2 Window-overlap artifact</w:t>
      </w:r>
    </w:p>
    <w:p>
      <w:r>
        <w:t>A preliminary 49-offset window comparison appeared extremely strong against a fully shuffled corpus. A full offset sweep revealed that this result was dominated by overlapping windows: offset 1 ranked first, offset 2 second, and so forth, while offset 49 ranked 49th. The monotonic decline is a geometric consequence of overlap, not evidence that 49 is uniquely encoded. Matched controls must preserve local repetition, token frequencies, page boundaries, and short-range transition structure.</w:t>
      </w:r>
    </w:p>
    <w:p>
      <w:pPr>
        <w:pStyle w:val="Heading2"/>
      </w:pPr>
      <w:r>
        <w:t>6.3 Golden-ratio claim</w:t>
      </w:r>
    </w:p>
    <w:p>
      <w:r>
        <w:t>The supplied reports describe φ-windowing but do not define a single unique base window, null model, or correction for searching many ratios. The available transcription also lacks clause punctuation needed by the cross-language protocol. Consequently, φ may remain an exploratory parameter, but its superiority over nearby ratios was not established in this evaluation.</w:t>
      </w:r>
    </w:p>
    <w:p>
      <w:pPr>
        <w:pStyle w:val="Heading1"/>
      </w:pPr>
      <w:r>
        <w:t>7. Semantic Cryptanalysis</w:t>
      </w:r>
    </w:p>
    <w:p>
      <w:r>
        <w:t>A fixed substitution attack was optimized against an independent English character four-gram model and then applied unchanged to held-out manuscript text. The objective was not to assume that Voynichese is monoalphabetic, but to test whether the proposed streams exposed even a basic English-like layer.</w:t>
      </w:r>
    </w:p>
    <w:tbl>
      <w:tblPr>
        <w:tblStyle w:val="TableGrid"/>
        <w:tblW w:type="dxa" w:w="8800"/>
        <w:jc w:val="center"/>
        <w:tblLayout w:type="fixed"/>
        <w:tblLook w:firstColumn="1" w:firstRow="1" w:lastColumn="0" w:lastRow="0" w:noHBand="0" w:noVBand="1" w:val="04A0"/>
      </w:tblPr>
      <w:tblGrid>
        <w:gridCol w:w="2300"/>
        <w:gridCol w:w="1700"/>
        <w:gridCol w:w="1700"/>
        <w:gridCol w:w="3100"/>
      </w:tblGrid>
      <w:tr>
        <w:tc>
          <w:tcPr>
            <w:tcW w:type="dxa" w:w="2300"/>
            <w:shd w:fill="E8EEF5"/>
          </w:tcPr>
          <w:p>
            <w:pPr>
              <w:keepNext/>
            </w:pPr>
            <w:r>
              <w:rPr>
                <w:b/>
                <w:sz w:val="18"/>
              </w:rPr>
              <w:t>Stream</w:t>
            </w:r>
          </w:p>
        </w:tc>
        <w:tc>
          <w:tcPr>
            <w:tcW w:type="dxa" w:w="1700"/>
            <w:shd w:fill="E8EEF5"/>
          </w:tcPr>
          <w:p>
            <w:pPr>
              <w:keepNext/>
            </w:pPr>
            <w:r>
              <w:rPr>
                <w:b/>
                <w:sz w:val="18"/>
              </w:rPr>
              <w:t>Training score</w:t>
            </w:r>
          </w:p>
        </w:tc>
        <w:tc>
          <w:tcPr>
            <w:tcW w:type="dxa" w:w="1700"/>
            <w:shd w:fill="E8EEF5"/>
          </w:tcPr>
          <w:p>
            <w:pPr>
              <w:keepNext/>
            </w:pPr>
            <w:r>
              <w:rPr>
                <w:b/>
                <w:sz w:val="18"/>
              </w:rPr>
              <w:t>Held-out score</w:t>
            </w:r>
          </w:p>
        </w:tc>
        <w:tc>
          <w:tcPr>
            <w:tcW w:type="dxa" w:w="3100"/>
            <w:shd w:fill="E8EEF5"/>
          </w:tcPr>
          <w:p>
            <w:pPr>
              <w:keepNext/>
            </w:pPr>
            <w:r>
              <w:rPr>
                <w:b/>
                <w:sz w:val="18"/>
              </w:rPr>
              <w:t>Outcome</w:t>
            </w:r>
          </w:p>
        </w:tc>
      </w:tr>
      <w:tr>
        <w:tc>
          <w:tcPr>
            <w:tcW w:type="dxa" w:w="2300"/>
            <w:vAlign w:val="center"/>
          </w:tcPr>
          <w:p>
            <w:pPr>
              <w:keepLines/>
              <w:spacing w:after="40"/>
            </w:pPr>
            <w:r>
              <w:rPr>
                <w:sz w:val="18"/>
              </w:rPr>
              <w:t>Full forward EVA stream</w:t>
            </w:r>
          </w:p>
        </w:tc>
        <w:tc>
          <w:tcPr>
            <w:tcW w:type="dxa" w:w="1700"/>
            <w:vAlign w:val="center"/>
          </w:tcPr>
          <w:p>
            <w:pPr>
              <w:keepLines/>
              <w:spacing w:after="40"/>
            </w:pPr>
            <w:r>
              <w:rPr>
                <w:sz w:val="18"/>
              </w:rPr>
              <w:t>−5.54</w:t>
            </w:r>
          </w:p>
        </w:tc>
        <w:tc>
          <w:tcPr>
            <w:tcW w:type="dxa" w:w="1700"/>
            <w:vAlign w:val="center"/>
          </w:tcPr>
          <w:p>
            <w:pPr>
              <w:keepLines/>
              <w:spacing w:after="40"/>
            </w:pPr>
            <w:r>
              <w:rPr>
                <w:sz w:val="18"/>
              </w:rPr>
              <w:t>−5.86</w:t>
            </w:r>
          </w:p>
        </w:tc>
        <w:tc>
          <w:tcPr>
            <w:tcW w:type="dxa" w:w="3100"/>
            <w:vAlign w:val="center"/>
          </w:tcPr>
          <w:p>
            <w:pPr>
              <w:keepLines/>
              <w:spacing w:after="40"/>
            </w:pPr>
            <w:r>
              <w:rPr>
                <w:sz w:val="18"/>
              </w:rPr>
              <w:t>Nonlinguistic</w:t>
            </w:r>
          </w:p>
        </w:tc>
      </w:tr>
      <w:tr>
        <w:tc>
          <w:tcPr>
            <w:tcW w:type="dxa" w:w="2300"/>
            <w:vAlign w:val="center"/>
          </w:tcPr>
          <w:p>
            <w:pPr>
              <w:spacing w:after="40"/>
            </w:pPr>
            <w:r>
              <w:rPr>
                <w:sz w:val="18"/>
              </w:rPr>
              <w:t>Natural English reference</w:t>
            </w:r>
          </w:p>
        </w:tc>
        <w:tc>
          <w:tcPr>
            <w:tcW w:type="dxa" w:w="1700"/>
            <w:vAlign w:val="center"/>
          </w:tcPr>
          <w:p>
            <w:pPr>
              <w:spacing w:after="40"/>
            </w:pPr>
            <w:r>
              <w:rPr>
                <w:sz w:val="18"/>
              </w:rPr>
              <w:t>≈−3.64</w:t>
            </w:r>
          </w:p>
        </w:tc>
        <w:tc>
          <w:tcPr>
            <w:tcW w:type="dxa" w:w="1700"/>
            <w:vAlign w:val="center"/>
          </w:tcPr>
          <w:p>
            <w:pPr>
              <w:spacing w:after="40"/>
            </w:pPr>
            <w:r>
              <w:rPr>
                <w:sz w:val="18"/>
              </w:rPr>
              <w:t>≈−3.64</w:t>
            </w:r>
          </w:p>
        </w:tc>
        <w:tc>
          <w:tcPr>
            <w:tcW w:type="dxa" w:w="3100"/>
            <w:vAlign w:val="center"/>
          </w:tcPr>
          <w:p>
            <w:pPr>
              <w:spacing w:after="40"/>
            </w:pPr>
            <w:r>
              <w:rPr>
                <w:sz w:val="18"/>
              </w:rPr>
              <w:t>Expected language range</w:t>
            </w:r>
          </w:p>
        </w:tc>
      </w:tr>
    </w:tbl>
    <w:p>
      <w:r>
        <w:t>The optimized candidate remained strings such as “uaonsi slad ar awatth…” and deteriorated on unseen pages. This indicates local statistical fitting rather than recovery of a stable English mapping. The result does not rule out every possible encryption system, but it supplies no evidence for the claimed English plaintext.</w:t>
      </w:r>
    </w:p>
    <w:p>
      <w:pPr>
        <w:pStyle w:val="Heading1"/>
      </w:pPr>
      <w:r>
        <w:t>8. Aziel Sequence—Forward Tests</w:t>
      </w:r>
    </w:p>
    <w:p>
      <w:r>
        <w:t>The Aziel Sequence was tested separately from ABAD and 7–φ–49:</w:t>
      </w:r>
    </w:p>
    <w:p>
      <w:pPr>
        <w:jc w:val="center"/>
      </w:pPr>
      <w:r>
        <w:rPr>
          <w:b/>
          <w:color w:val="173F5F"/>
          <w:sz w:val="28"/>
        </w:rPr>
        <w:t>1  →  3  →  7  →  12  →  40  →  49  →  70</w:t>
      </w:r>
    </w:p>
    <w:p>
      <w:r>
        <w:t>Four order-sensitive readings were evaluated: direct recurrence distances; fixed per-page extraction positions; cumulative offsets 1, 4, 11, 23, 63, 112, 182; and alternating forward/reverse Corkscrew extraction.</w:t>
      </w:r>
    </w:p>
    <w:tbl>
      <w:tblPr>
        <w:tblStyle w:val="TableGrid"/>
        <w:tblW w:type="dxa" w:w="8800"/>
        <w:jc w:val="center"/>
        <w:tblLayout w:type="fixed"/>
        <w:tblLook w:firstColumn="1" w:firstRow="1" w:lastColumn="0" w:lastRow="0" w:noHBand="0" w:noVBand="1" w:val="04A0"/>
      </w:tblPr>
      <w:tblGrid>
        <w:gridCol w:w="3200"/>
        <w:gridCol w:w="5600"/>
      </w:tblGrid>
      <w:tr>
        <w:tc>
          <w:tcPr>
            <w:tcW w:type="dxa" w:w="3200"/>
            <w:shd w:fill="E8EEF5"/>
          </w:tcPr>
          <w:p>
            <w:pPr>
              <w:keepNext/>
            </w:pPr>
            <w:r>
              <w:rPr>
                <w:b/>
                <w:sz w:val="18"/>
              </w:rPr>
              <w:t>Finding</w:t>
            </w:r>
          </w:p>
        </w:tc>
        <w:tc>
          <w:tcPr>
            <w:tcW w:type="dxa" w:w="5600"/>
            <w:shd w:fill="E8EEF5"/>
          </w:tcPr>
          <w:p>
            <w:pPr>
              <w:keepNext/>
            </w:pPr>
            <w:r>
              <w:rPr>
                <w:b/>
                <w:sz w:val="18"/>
              </w:rPr>
              <w:t>Result</w:t>
            </w:r>
          </w:p>
        </w:tc>
      </w:tr>
      <w:tr>
        <w:tc>
          <w:tcPr>
            <w:tcW w:type="dxa" w:w="3200"/>
            <w:vAlign w:val="center"/>
          </w:tcPr>
          <w:p>
            <w:pPr>
              <w:keepLines/>
              <w:spacing w:after="40"/>
            </w:pPr>
            <w:r>
              <w:rPr>
                <w:sz w:val="18"/>
              </w:rPr>
              <w:t>Full seven-number composite</w:t>
            </w:r>
          </w:p>
        </w:tc>
        <w:tc>
          <w:tcPr>
            <w:tcW w:type="dxa" w:w="5600"/>
            <w:vAlign w:val="center"/>
          </w:tcPr>
          <w:p>
            <w:pPr>
              <w:keepLines/>
              <w:spacing w:after="40"/>
            </w:pPr>
            <w:r>
              <w:rPr>
                <w:sz w:val="18"/>
              </w:rPr>
              <w:t>Nominal p≈0.0446 against unrestricted random seven-lag sets.</w:t>
            </w:r>
          </w:p>
        </w:tc>
      </w:tr>
      <w:tr>
        <w:tc>
          <w:tcPr>
            <w:tcW w:type="dxa" w:w="3200"/>
            <w:vAlign w:val="center"/>
          </w:tcPr>
          <w:p>
            <w:pPr>
              <w:spacing w:after="40"/>
            </w:pPr>
            <w:r>
              <w:rPr>
                <w:sz w:val="18"/>
              </w:rPr>
              <w:t>Source of apparent signal</w:t>
            </w:r>
          </w:p>
        </w:tc>
        <w:tc>
          <w:tcPr>
            <w:tcW w:type="dxa" w:w="5600"/>
            <w:vAlign w:val="center"/>
          </w:tcPr>
          <w:p>
            <w:pPr>
              <w:spacing w:after="40"/>
            </w:pPr>
            <w:r>
              <w:rPr>
                <w:sz w:val="18"/>
              </w:rPr>
              <w:t>Almost entirely values 1 and 3, where ordinary text has strong local dependence.</w:t>
            </w:r>
          </w:p>
        </w:tc>
      </w:tr>
      <w:tr>
        <w:tc>
          <w:tcPr>
            <w:tcW w:type="dxa" w:w="3200"/>
            <w:vAlign w:val="center"/>
          </w:tcPr>
          <w:p>
            <w:pPr>
              <w:spacing w:after="40"/>
            </w:pPr>
            <w:r>
              <w:rPr>
                <w:sz w:val="18"/>
              </w:rPr>
              <w:t>Sequence after removing 1 and 3</w:t>
            </w:r>
          </w:p>
        </w:tc>
        <w:tc>
          <w:tcPr>
            <w:tcW w:type="dxa" w:w="5600"/>
            <w:vAlign w:val="center"/>
          </w:tcPr>
          <w:p>
            <w:pPr>
              <w:spacing w:after="40"/>
            </w:pPr>
            <w:r>
              <w:rPr>
                <w:sz w:val="18"/>
              </w:rPr>
              <w:t>Mean percentile 52.6%—approximately chance.</w:t>
            </w:r>
          </w:p>
        </w:tc>
      </w:tr>
      <w:tr>
        <w:tc>
          <w:tcPr>
            <w:tcW w:type="dxa" w:w="3200"/>
            <w:vAlign w:val="center"/>
          </w:tcPr>
          <w:p>
            <w:pPr>
              <w:spacing w:after="40"/>
            </w:pPr>
            <w:r>
              <w:rPr>
                <w:sz w:val="18"/>
              </w:rPr>
              <w:t>Late terms 40, 49, 70</w:t>
            </w:r>
          </w:p>
        </w:tc>
        <w:tc>
          <w:tcPr>
            <w:tcW w:type="dxa" w:w="5600"/>
            <w:vAlign w:val="center"/>
          </w:tcPr>
          <w:p>
            <w:pPr>
              <w:spacing w:after="40"/>
            </w:pPr>
            <w:r>
              <w:rPr>
                <w:sz w:val="18"/>
              </w:rPr>
              <w:t>Mean percentile 32.9%—below average.</w:t>
            </w:r>
          </w:p>
        </w:tc>
      </w:tr>
      <w:tr>
        <w:tc>
          <w:tcPr>
            <w:tcW w:type="dxa" w:w="3200"/>
            <w:vAlign w:val="center"/>
          </w:tcPr>
          <w:p>
            <w:pPr>
              <w:spacing w:after="40"/>
            </w:pPr>
            <w:r>
              <w:rPr>
                <w:sz w:val="18"/>
              </w:rPr>
              <w:t>Cumulative closure</w:t>
            </w:r>
          </w:p>
        </w:tc>
        <w:tc>
          <w:tcPr>
            <w:tcW w:type="dxa" w:w="5600"/>
            <w:vAlign w:val="center"/>
          </w:tcPr>
          <w:p>
            <w:pPr>
              <w:spacing w:after="40"/>
            </w:pPr>
            <w:r>
              <w:rPr>
                <w:sz w:val="18"/>
              </w:rPr>
              <w:t>No special closure at 63, 112, or 182.</w:t>
            </w:r>
          </w:p>
        </w:tc>
      </w:tr>
    </w:tbl>
    <w:tbl>
      <w:tblPr>
        <w:tblStyle w:val="TableGrid"/>
        <w:tblW w:type="dxa" w:w="8800"/>
        <w:jc w:val="center"/>
        <w:tblLayout w:type="fixed"/>
        <w:tblLook w:firstColumn="1" w:firstRow="1" w:lastColumn="0" w:lastRow="0" w:noHBand="0" w:noVBand="1" w:val="04A0"/>
      </w:tblPr>
      <w:tblGrid>
        <w:gridCol w:w="4000"/>
        <w:gridCol w:w="2400"/>
        <w:gridCol w:w="2400"/>
      </w:tblGrid>
      <w:tr>
        <w:tc>
          <w:tcPr>
            <w:tcW w:type="dxa" w:w="4000"/>
            <w:shd w:fill="E8EEF5"/>
          </w:tcPr>
          <w:p>
            <w:pPr>
              <w:keepNext/>
            </w:pPr>
            <w:r>
              <w:rPr>
                <w:b/>
                <w:sz w:val="18"/>
              </w:rPr>
              <w:t>Forward extraction</w:t>
            </w:r>
          </w:p>
        </w:tc>
        <w:tc>
          <w:tcPr>
            <w:tcW w:type="dxa" w:w="2400"/>
            <w:shd w:fill="E8EEF5"/>
          </w:tcPr>
          <w:p>
            <w:pPr>
              <w:keepNext/>
            </w:pPr>
            <w:r>
              <w:rPr>
                <w:b/>
                <w:sz w:val="18"/>
              </w:rPr>
              <w:t>Training score</w:t>
            </w:r>
          </w:p>
        </w:tc>
        <w:tc>
          <w:tcPr>
            <w:tcW w:type="dxa" w:w="2400"/>
            <w:shd w:fill="E8EEF5"/>
          </w:tcPr>
          <w:p>
            <w:pPr>
              <w:keepNext/>
            </w:pPr>
            <w:r>
              <w:rPr>
                <w:b/>
                <w:sz w:val="18"/>
              </w:rPr>
              <w:t>Held-out score</w:t>
            </w:r>
          </w:p>
        </w:tc>
      </w:tr>
      <w:tr>
        <w:tc>
          <w:tcPr>
            <w:tcW w:type="dxa" w:w="4000"/>
            <w:vAlign w:val="center"/>
          </w:tcPr>
          <w:p>
            <w:pPr>
              <w:keepLines/>
              <w:spacing w:after="40"/>
            </w:pPr>
            <w:r>
              <w:rPr>
                <w:sz w:val="18"/>
              </w:rPr>
              <w:t>Direct positions</w:t>
            </w:r>
          </w:p>
        </w:tc>
        <w:tc>
          <w:tcPr>
            <w:tcW w:type="dxa" w:w="2400"/>
            <w:vAlign w:val="center"/>
          </w:tcPr>
          <w:p>
            <w:pPr>
              <w:keepLines/>
              <w:spacing w:after="40"/>
            </w:pPr>
            <w:r>
              <w:rPr>
                <w:sz w:val="18"/>
              </w:rPr>
              <w:t>≈−5.85</w:t>
            </w:r>
          </w:p>
        </w:tc>
        <w:tc>
          <w:tcPr>
            <w:tcW w:type="dxa" w:w="2400"/>
            <w:vAlign w:val="center"/>
          </w:tcPr>
          <w:p>
            <w:pPr>
              <w:keepLines/>
              <w:spacing w:after="40"/>
            </w:pPr>
            <w:r>
              <w:rPr>
                <w:sz w:val="18"/>
              </w:rPr>
              <w:t>≈−5.96</w:t>
            </w:r>
          </w:p>
        </w:tc>
      </w:tr>
      <w:tr>
        <w:tc>
          <w:tcPr>
            <w:tcW w:type="dxa" w:w="4000"/>
            <w:vAlign w:val="center"/>
          </w:tcPr>
          <w:p>
            <w:pPr>
              <w:spacing w:after="40"/>
            </w:pPr>
            <w:r>
              <w:rPr>
                <w:sz w:val="18"/>
              </w:rPr>
              <w:t>Corkscrew variant</w:t>
            </w:r>
          </w:p>
        </w:tc>
        <w:tc>
          <w:tcPr>
            <w:tcW w:type="dxa" w:w="2400"/>
            <w:vAlign w:val="center"/>
          </w:tcPr>
          <w:p>
            <w:pPr>
              <w:spacing w:after="40"/>
            </w:pPr>
            <w:r>
              <w:rPr>
                <w:sz w:val="18"/>
              </w:rPr>
              <w:t>≈−5.81</w:t>
            </w:r>
          </w:p>
        </w:tc>
        <w:tc>
          <w:tcPr>
            <w:tcW w:type="dxa" w:w="2400"/>
            <w:vAlign w:val="center"/>
          </w:tcPr>
          <w:p>
            <w:pPr>
              <w:spacing w:after="40"/>
            </w:pPr>
            <w:r>
              <w:rPr>
                <w:sz w:val="18"/>
              </w:rPr>
              <w:t>≈−6.16</w:t>
            </w:r>
          </w:p>
        </w:tc>
      </w:tr>
    </w:tbl>
    <w:p>
      <w:r>
        <w:t>No forward extraction produced readable or predictive language. Some randomly selected seven-position sets scored as well as or better than the Aziel positions.</w:t>
      </w:r>
    </w:p>
    <w:p>
      <w:pPr>
        <w:pStyle w:val="Heading1"/>
      </w:pPr>
      <w:r>
        <w:t>9. Aziel Sequence—Reverse Tests</w:t>
      </w:r>
    </w:p>
    <w:p>
      <w:pPr>
        <w:jc w:val="center"/>
      </w:pPr>
      <w:r>
        <w:rPr>
          <w:b/>
          <w:color w:val="173F5F"/>
          <w:sz w:val="28"/>
        </w:rPr>
        <w:t>70  →  49  →  40  →  12  →  7  →  3  →  1</w:t>
      </w:r>
    </w:p>
    <w:p>
      <w:r>
        <w:t>The reverse sequence was tested from the start and end of each page, cumulatively as 70, 119, 159, 171, 178, 181, 182, and through an inverted Corkscrew pattern.</w:t>
      </w:r>
    </w:p>
    <w:tbl>
      <w:tblPr>
        <w:tblStyle w:val="TableGrid"/>
        <w:tblW w:type="dxa" w:w="8800"/>
        <w:jc w:val="center"/>
        <w:tblLayout w:type="fixed"/>
        <w:tblLook w:firstColumn="1" w:firstRow="1" w:lastColumn="0" w:lastRow="0" w:noHBand="0" w:noVBand="1" w:val="04A0"/>
      </w:tblPr>
      <w:tblGrid>
        <w:gridCol w:w="4400"/>
        <w:gridCol w:w="2200"/>
        <w:gridCol w:w="2200"/>
      </w:tblGrid>
      <w:tr>
        <w:tc>
          <w:tcPr>
            <w:tcW w:type="dxa" w:w="4400"/>
            <w:shd w:fill="E8EEF5"/>
          </w:tcPr>
          <w:p>
            <w:pPr>
              <w:keepNext/>
            </w:pPr>
            <w:r>
              <w:rPr>
                <w:b/>
                <w:sz w:val="18"/>
              </w:rPr>
              <w:t>Reverse interpretation</w:t>
            </w:r>
          </w:p>
        </w:tc>
        <w:tc>
          <w:tcPr>
            <w:tcW w:type="dxa" w:w="2200"/>
            <w:shd w:fill="E8EEF5"/>
          </w:tcPr>
          <w:p>
            <w:pPr>
              <w:keepNext/>
            </w:pPr>
            <w:r>
              <w:rPr>
                <w:b/>
                <w:sz w:val="18"/>
              </w:rPr>
              <w:t>Training</w:t>
            </w:r>
          </w:p>
        </w:tc>
        <w:tc>
          <w:tcPr>
            <w:tcW w:type="dxa" w:w="2200"/>
            <w:shd w:fill="E8EEF5"/>
          </w:tcPr>
          <w:p>
            <w:pPr>
              <w:keepNext/>
            </w:pPr>
            <w:r>
              <w:rPr>
                <w:b/>
                <w:sz w:val="18"/>
              </w:rPr>
              <w:t>Held-out</w:t>
            </w:r>
          </w:p>
        </w:tc>
      </w:tr>
      <w:tr>
        <w:tc>
          <w:tcPr>
            <w:tcW w:type="dxa" w:w="4400"/>
            <w:vAlign w:val="center"/>
          </w:tcPr>
          <w:p>
            <w:pPr>
              <w:keepLines/>
              <w:spacing w:after="40"/>
            </w:pPr>
            <w:r>
              <w:rPr>
                <w:sz w:val="18"/>
              </w:rPr>
              <w:t>Positions from page start</w:t>
            </w:r>
          </w:p>
        </w:tc>
        <w:tc>
          <w:tcPr>
            <w:tcW w:type="dxa" w:w="2200"/>
            <w:vAlign w:val="center"/>
          </w:tcPr>
          <w:p>
            <w:pPr>
              <w:keepLines/>
              <w:spacing w:after="40"/>
            </w:pPr>
            <w:r>
              <w:rPr>
                <w:sz w:val="18"/>
              </w:rPr>
              <w:t>−6.00</w:t>
            </w:r>
          </w:p>
        </w:tc>
        <w:tc>
          <w:tcPr>
            <w:tcW w:type="dxa" w:w="2200"/>
            <w:vAlign w:val="center"/>
          </w:tcPr>
          <w:p>
            <w:pPr>
              <w:keepLines/>
              <w:spacing w:after="40"/>
            </w:pPr>
            <w:r>
              <w:rPr>
                <w:sz w:val="18"/>
              </w:rPr>
              <w:t>−6.44</w:t>
            </w:r>
          </w:p>
        </w:tc>
      </w:tr>
      <w:tr>
        <w:tc>
          <w:tcPr>
            <w:tcW w:type="dxa" w:w="4400"/>
            <w:vAlign w:val="center"/>
          </w:tcPr>
          <w:p>
            <w:pPr>
              <w:spacing w:after="40"/>
            </w:pPr>
            <w:r>
              <w:rPr>
                <w:sz w:val="18"/>
              </w:rPr>
              <w:t>Positions from page end</w:t>
            </w:r>
          </w:p>
        </w:tc>
        <w:tc>
          <w:tcPr>
            <w:tcW w:type="dxa" w:w="2200"/>
            <w:vAlign w:val="center"/>
          </w:tcPr>
          <w:p>
            <w:pPr>
              <w:spacing w:after="40"/>
            </w:pPr>
            <w:r>
              <w:rPr>
                <w:sz w:val="18"/>
              </w:rPr>
              <w:t>−5.63</w:t>
            </w:r>
          </w:p>
        </w:tc>
        <w:tc>
          <w:tcPr>
            <w:tcW w:type="dxa" w:w="2200"/>
            <w:vAlign w:val="center"/>
          </w:tcPr>
          <w:p>
            <w:pPr>
              <w:spacing w:after="40"/>
            </w:pPr>
            <w:r>
              <w:rPr>
                <w:sz w:val="18"/>
              </w:rPr>
              <w:t>−5.69</w:t>
            </w:r>
          </w:p>
        </w:tc>
      </w:tr>
      <w:tr>
        <w:tc>
          <w:tcPr>
            <w:tcW w:type="dxa" w:w="4400"/>
            <w:vAlign w:val="center"/>
          </w:tcPr>
          <w:p>
            <w:pPr>
              <w:spacing w:after="40"/>
            </w:pPr>
            <w:r>
              <w:rPr>
                <w:sz w:val="18"/>
              </w:rPr>
              <w:t>Cumulative from start</w:t>
            </w:r>
          </w:p>
        </w:tc>
        <w:tc>
          <w:tcPr>
            <w:tcW w:type="dxa" w:w="2200"/>
            <w:vAlign w:val="center"/>
          </w:tcPr>
          <w:p>
            <w:pPr>
              <w:spacing w:after="40"/>
            </w:pPr>
            <w:r>
              <w:rPr>
                <w:sz w:val="18"/>
              </w:rPr>
              <w:t>−6.19</w:t>
            </w:r>
          </w:p>
        </w:tc>
        <w:tc>
          <w:tcPr>
            <w:tcW w:type="dxa" w:w="2200"/>
            <w:vAlign w:val="center"/>
          </w:tcPr>
          <w:p>
            <w:pPr>
              <w:spacing w:after="40"/>
            </w:pPr>
            <w:r>
              <w:rPr>
                <w:sz w:val="18"/>
              </w:rPr>
              <w:t>−6.51</w:t>
            </w:r>
          </w:p>
        </w:tc>
      </w:tr>
      <w:tr>
        <w:tc>
          <w:tcPr>
            <w:tcW w:type="dxa" w:w="4400"/>
            <w:vAlign w:val="center"/>
          </w:tcPr>
          <w:p>
            <w:pPr>
              <w:spacing w:after="40"/>
            </w:pPr>
            <w:r>
              <w:rPr>
                <w:sz w:val="18"/>
              </w:rPr>
              <w:t>Cumulative from end</w:t>
            </w:r>
          </w:p>
        </w:tc>
        <w:tc>
          <w:tcPr>
            <w:tcW w:type="dxa" w:w="2200"/>
            <w:vAlign w:val="center"/>
          </w:tcPr>
          <w:p>
            <w:pPr>
              <w:spacing w:after="40"/>
            </w:pPr>
            <w:r>
              <w:rPr>
                <w:sz w:val="18"/>
              </w:rPr>
              <w:t>−5.60</w:t>
            </w:r>
          </w:p>
        </w:tc>
        <w:tc>
          <w:tcPr>
            <w:tcW w:type="dxa" w:w="2200"/>
            <w:vAlign w:val="center"/>
          </w:tcPr>
          <w:p>
            <w:pPr>
              <w:spacing w:after="40"/>
            </w:pPr>
            <w:r>
              <w:rPr>
                <w:sz w:val="18"/>
              </w:rPr>
              <w:t>−6.20</w:t>
            </w:r>
          </w:p>
        </w:tc>
      </w:tr>
      <w:tr>
        <w:tc>
          <w:tcPr>
            <w:tcW w:type="dxa" w:w="4400"/>
            <w:vAlign w:val="center"/>
          </w:tcPr>
          <w:p>
            <w:pPr>
              <w:spacing w:after="40"/>
            </w:pPr>
            <w:r>
              <w:rPr>
                <w:sz w:val="18"/>
              </w:rPr>
              <w:t>Inverted Corkscrew</w:t>
            </w:r>
          </w:p>
        </w:tc>
        <w:tc>
          <w:tcPr>
            <w:tcW w:type="dxa" w:w="2200"/>
            <w:vAlign w:val="center"/>
          </w:tcPr>
          <w:p>
            <w:pPr>
              <w:spacing w:after="40"/>
            </w:pPr>
            <w:r>
              <w:rPr>
                <w:sz w:val="18"/>
              </w:rPr>
              <w:t>−6.13</w:t>
            </w:r>
          </w:p>
        </w:tc>
        <w:tc>
          <w:tcPr>
            <w:tcW w:type="dxa" w:w="2200"/>
            <w:vAlign w:val="center"/>
          </w:tcPr>
          <w:p>
            <w:pPr>
              <w:spacing w:after="40"/>
            </w:pPr>
            <w:r>
              <w:rPr>
                <w:sz w:val="18"/>
              </w:rPr>
              <w:t>−6.22</w:t>
            </w:r>
          </w:p>
        </w:tc>
      </w:tr>
    </w:tbl>
    <w:p>
      <w:r>
        <w:t>The strongest reverse form read the numbered positions from the end of each page, but it remained in the random/nonlinguistic range and yielded no stable vocabulary or grammar.</w:t>
      </w:r>
    </w:p>
    <w:p>
      <w:pPr>
        <w:pStyle w:val="Heading1"/>
      </w:pPr>
      <w:r>
        <w:t>10. Madhava–Leibniz π-Series Tests</w:t>
      </w:r>
    </w:p>
    <w:p>
      <w:r>
        <w:t>The Madhava–Leibniz series was tested as an alternating harmonic key:</w:t>
      </w:r>
    </w:p>
    <w:p>
      <w:pPr>
        <w:jc w:val="center"/>
      </w:pPr>
      <w:r>
        <w:rPr>
          <w:b/>
          <w:color w:val="173F5F"/>
          <w:sz w:val="28"/>
        </w:rPr>
        <w:t>π = 4(1 − 1/3 + 1/5 − 1/7 + ⋯)</w:t>
      </w:r>
    </w:p>
    <w:p>
      <w:r>
        <w:t>Three reproducible interpretations were used: alternating odd-denominator lags 1, 3, 5, …, 29; alternating start/end page extraction; and page positions derived from successive partial-sum approximations multiplied by ten. The latter generated positions approximately 40, 27, 35, 29, 33, 30, 33, 30, and so forth.</w:t>
      </w:r>
    </w:p>
    <w:tbl>
      <w:tblPr>
        <w:tblStyle w:val="TableGrid"/>
        <w:tblW w:type="dxa" w:w="8800"/>
        <w:jc w:val="center"/>
        <w:tblLayout w:type="fixed"/>
        <w:tblLook w:firstColumn="1" w:firstRow="1" w:lastColumn="0" w:lastRow="0" w:noHBand="0" w:noVBand="1" w:val="04A0"/>
      </w:tblPr>
      <w:tblGrid>
        <w:gridCol w:w="3000"/>
        <w:gridCol w:w="3200"/>
        <w:gridCol w:w="2600"/>
      </w:tblGrid>
      <w:tr>
        <w:tc>
          <w:tcPr>
            <w:tcW w:type="dxa" w:w="3000"/>
            <w:shd w:fill="E8EEF5"/>
          </w:tcPr>
          <w:p>
            <w:pPr>
              <w:keepNext/>
            </w:pPr>
            <w:r>
              <w:rPr>
                <w:b/>
                <w:sz w:val="18"/>
              </w:rPr>
              <w:t>π-series test</w:t>
            </w:r>
          </w:p>
        </w:tc>
        <w:tc>
          <w:tcPr>
            <w:tcW w:type="dxa" w:w="3200"/>
            <w:shd w:fill="E8EEF5"/>
          </w:tcPr>
          <w:p>
            <w:pPr>
              <w:keepNext/>
            </w:pPr>
            <w:r>
              <w:rPr>
                <w:b/>
                <w:sz w:val="18"/>
              </w:rPr>
              <w:t>Result</w:t>
            </w:r>
          </w:p>
        </w:tc>
        <w:tc>
          <w:tcPr>
            <w:tcW w:type="dxa" w:w="2600"/>
            <w:shd w:fill="E8EEF5"/>
          </w:tcPr>
          <w:p>
            <w:pPr>
              <w:keepNext/>
            </w:pPr>
            <w:r>
              <w:rPr>
                <w:b/>
                <w:sz w:val="18"/>
              </w:rPr>
              <w:t>Assessment</w:t>
            </w:r>
          </w:p>
        </w:tc>
      </w:tr>
      <w:tr>
        <w:tc>
          <w:tcPr>
            <w:tcW w:type="dxa" w:w="3000"/>
            <w:vAlign w:val="center"/>
          </w:tcPr>
          <w:p>
            <w:pPr>
              <w:keepLines/>
              <w:spacing w:after="40"/>
            </w:pPr>
            <w:r>
              <w:rPr>
                <w:sz w:val="18"/>
              </w:rPr>
              <w:t>Alternating weighted recurrence</w:t>
            </w:r>
          </w:p>
        </w:tc>
        <w:tc>
          <w:tcPr>
            <w:tcW w:type="dxa" w:w="3200"/>
            <w:vAlign w:val="center"/>
          </w:tcPr>
          <w:p>
            <w:pPr>
              <w:keepLines/>
              <w:spacing w:after="40"/>
            </w:pPr>
            <w:r>
              <w:rPr>
                <w:sz w:val="18"/>
              </w:rPr>
              <w:t>p≈0.39 against shuffled term assignments</w:t>
            </w:r>
          </w:p>
        </w:tc>
        <w:tc>
          <w:tcPr>
            <w:tcW w:type="dxa" w:w="2600"/>
            <w:vAlign w:val="center"/>
          </w:tcPr>
          <w:p>
            <w:pPr>
              <w:keepLines/>
              <w:spacing w:after="40"/>
            </w:pPr>
            <w:r>
              <w:rPr>
                <w:sz w:val="18"/>
              </w:rPr>
              <w:t>Null result</w:t>
            </w:r>
          </w:p>
        </w:tc>
      </w:tr>
      <w:tr>
        <w:tc>
          <w:tcPr>
            <w:tcW w:type="dxa" w:w="3000"/>
            <w:vAlign w:val="center"/>
          </w:tcPr>
          <w:p>
            <w:pPr>
              <w:spacing w:after="40"/>
            </w:pPr>
            <w:r>
              <w:rPr>
                <w:sz w:val="18"/>
              </w:rPr>
              <w:t>Best partial-sum extraction</w:t>
            </w:r>
          </w:p>
        </w:tc>
        <w:tc>
          <w:tcPr>
            <w:tcW w:type="dxa" w:w="3200"/>
            <w:vAlign w:val="center"/>
          </w:tcPr>
          <w:p>
            <w:pPr>
              <w:spacing w:after="40"/>
            </w:pPr>
            <w:r>
              <w:rPr>
                <w:sz w:val="18"/>
              </w:rPr>
              <w:t>Held-out language score ≈−5.49</w:t>
            </w:r>
          </w:p>
        </w:tc>
        <w:tc>
          <w:tcPr>
            <w:tcW w:type="dxa" w:w="2600"/>
            <w:vAlign w:val="center"/>
          </w:tcPr>
          <w:p>
            <w:pPr>
              <w:spacing w:after="40"/>
            </w:pPr>
            <w:r>
              <w:rPr>
                <w:sz w:val="18"/>
              </w:rPr>
              <w:t>Nonlinguistic</w:t>
            </w:r>
          </w:p>
        </w:tc>
      </w:tr>
      <w:tr>
        <w:tc>
          <w:tcPr>
            <w:tcW w:type="dxa" w:w="3000"/>
            <w:vAlign w:val="center"/>
          </w:tcPr>
          <w:p>
            <w:pPr>
              <w:spacing w:after="40"/>
            </w:pPr>
            <w:r>
              <w:rPr>
                <w:sz w:val="18"/>
              </w:rPr>
              <w:t>Natural English reference</w:t>
            </w:r>
          </w:p>
        </w:tc>
        <w:tc>
          <w:tcPr>
            <w:tcW w:type="dxa" w:w="3200"/>
            <w:vAlign w:val="center"/>
          </w:tcPr>
          <w:p>
            <w:pPr>
              <w:spacing w:after="40"/>
            </w:pPr>
            <w:r>
              <w:rPr>
                <w:sz w:val="18"/>
              </w:rPr>
              <w:t>≈−3.55</w:t>
            </w:r>
          </w:p>
        </w:tc>
        <w:tc>
          <w:tcPr>
            <w:tcW w:type="dxa" w:w="2600"/>
            <w:vAlign w:val="center"/>
          </w:tcPr>
          <w:p>
            <w:pPr>
              <w:spacing w:after="40"/>
            </w:pPr>
            <w:r>
              <w:rPr>
                <w:sz w:val="18"/>
              </w:rPr>
              <w:t>Target range not approached</w:t>
            </w:r>
          </w:p>
        </w:tc>
      </w:tr>
      <w:tr>
        <w:tc>
          <w:tcPr>
            <w:tcW w:type="dxa" w:w="3000"/>
            <w:vAlign w:val="center"/>
          </w:tcPr>
          <w:p>
            <w:pPr>
              <w:spacing w:after="40"/>
            </w:pPr>
            <w:r>
              <w:rPr>
                <w:sz w:val="18"/>
              </w:rPr>
              <w:t>Random-position comparison</w:t>
            </w:r>
          </w:p>
        </w:tc>
        <w:tc>
          <w:tcPr>
            <w:tcW w:type="dxa" w:w="3200"/>
            <w:vAlign w:val="center"/>
          </w:tcPr>
          <w:p>
            <w:pPr>
              <w:spacing w:after="40"/>
            </w:pPr>
            <w:r>
              <w:rPr>
                <w:sz w:val="18"/>
              </w:rPr>
              <w:t>Several random sets performed comparably</w:t>
            </w:r>
          </w:p>
        </w:tc>
        <w:tc>
          <w:tcPr>
            <w:tcW w:type="dxa" w:w="2600"/>
            <w:vAlign w:val="center"/>
          </w:tcPr>
          <w:p>
            <w:pPr>
              <w:spacing w:after="40"/>
            </w:pPr>
            <w:r>
              <w:rPr>
                <w:sz w:val="18"/>
              </w:rPr>
              <w:t>No sequence specificity</w:t>
            </w:r>
          </w:p>
        </w:tc>
      </w:tr>
    </w:tbl>
    <w:p>
      <w:r>
        <w:t>The π-series did not reveal privileged recurrence or stable plaintext. Its strongest extraction produced repeated word-like forms, but these did not form recognizable vocabulary or grammar and did not clearly outperform random position systems.</w:t>
      </w:r>
    </w:p>
    <w:p>
      <w:pPr>
        <w:pStyle w:val="Heading1"/>
      </w:pPr>
      <w:r>
        <w:t>11. Zero Dark Thirty Multi-Lock Tests</w:t>
      </w:r>
    </w:p>
    <w:p>
      <w:pPr>
        <w:pStyle w:val="Heading2"/>
      </w:pPr>
      <w:r>
        <w:t>11.1 Operational definition</w:t>
      </w:r>
    </w:p>
    <w:p>
      <w:r>
        <w:t>The Zero Dark Thirty Formula Report describes a dynamic forward/reverse equation suite with a harmonic bridge combining φ, π, and 7–12–49, followed by Observer and Lamb Lens validation stages. Because it does not publish a more specific numeric equation, the harmonic scan was formalized by multiplying and dividing the three base locks by φ and π, retaining integer positions from 1 through 100.</w:t>
      </w:r>
    </w:p>
    <w:p>
      <w:pPr>
        <w:jc w:val="center"/>
      </w:pPr>
      <w:r>
        <w:rPr>
          <w:b/>
          <w:color w:val="173F5F"/>
        </w:rPr>
        <w:t>ZD30 locks: 2, 4, 7, 11, 12, 16, 19, 22, 30, 38, 49, 79</w:t>
      </w:r>
    </w:p>
    <w:p>
      <w:pPr>
        <w:pStyle w:val="Heading2"/>
      </w:pPr>
      <w:r>
        <w:t>11.2 Structural controls</w:t>
      </w:r>
    </w:p>
    <w:tbl>
      <w:tblPr>
        <w:tblStyle w:val="TableGrid"/>
        <w:tblW w:type="dxa" w:w="8800"/>
        <w:jc w:val="center"/>
        <w:tblLayout w:type="fixed"/>
        <w:tblLook w:firstColumn="1" w:firstRow="1" w:lastColumn="0" w:lastRow="0" w:noHBand="0" w:noVBand="1" w:val="04A0"/>
      </w:tblPr>
      <w:tblGrid>
        <w:gridCol w:w="3300"/>
        <w:gridCol w:w="2200"/>
        <w:gridCol w:w="3300"/>
      </w:tblGrid>
      <w:tr>
        <w:tc>
          <w:tcPr>
            <w:tcW w:type="dxa" w:w="3300"/>
            <w:shd w:fill="E8EEF5"/>
          </w:tcPr>
          <w:p>
            <w:pPr>
              <w:keepNext/>
            </w:pPr>
            <w:r>
              <w:rPr>
                <w:b/>
                <w:sz w:val="18"/>
              </w:rPr>
              <w:t>Control model</w:t>
            </w:r>
          </w:p>
        </w:tc>
        <w:tc>
          <w:tcPr>
            <w:tcW w:type="dxa" w:w="2200"/>
            <w:shd w:fill="E8EEF5"/>
          </w:tcPr>
          <w:p>
            <w:pPr>
              <w:keepNext/>
            </w:pPr>
            <w:r>
              <w:rPr>
                <w:b/>
                <w:sz w:val="18"/>
              </w:rPr>
              <w:t>Result</w:t>
            </w:r>
          </w:p>
        </w:tc>
        <w:tc>
          <w:tcPr>
            <w:tcW w:type="dxa" w:w="3300"/>
            <w:shd w:fill="E8EEF5"/>
          </w:tcPr>
          <w:p>
            <w:pPr>
              <w:keepNext/>
            </w:pPr>
            <w:r>
              <w:rPr>
                <w:b/>
                <w:sz w:val="18"/>
              </w:rPr>
              <w:t>Meaning</w:t>
            </w:r>
          </w:p>
        </w:tc>
      </w:tr>
      <w:tr>
        <w:tc>
          <w:tcPr>
            <w:tcW w:type="dxa" w:w="3300"/>
            <w:vAlign w:val="center"/>
          </w:tcPr>
          <w:p>
            <w:pPr>
              <w:keepLines/>
              <w:spacing w:after="40"/>
            </w:pPr>
            <w:r>
              <w:rPr>
                <w:sz w:val="18"/>
              </w:rPr>
              <w:t>Arbitrary lag-set control</w:t>
            </w:r>
          </w:p>
        </w:tc>
        <w:tc>
          <w:tcPr>
            <w:tcW w:type="dxa" w:w="2200"/>
            <w:vAlign w:val="center"/>
          </w:tcPr>
          <w:p>
            <w:pPr>
              <w:keepLines/>
              <w:spacing w:after="40"/>
            </w:pPr>
            <w:r>
              <w:rPr>
                <w:sz w:val="18"/>
              </w:rPr>
              <w:t>p≈0.0005</w:t>
            </w:r>
          </w:p>
        </w:tc>
        <w:tc>
          <w:tcPr>
            <w:tcW w:type="dxa" w:w="3300"/>
            <w:vAlign w:val="center"/>
          </w:tcPr>
          <w:p>
            <w:pPr>
              <w:keepLines/>
              <w:spacing w:after="40"/>
            </w:pPr>
            <w:r>
              <w:rPr>
                <w:sz w:val="18"/>
              </w:rPr>
              <w:t>Apparently strong but unfairly favors short derived lags</w:t>
            </w:r>
          </w:p>
        </w:tc>
      </w:tr>
      <w:tr>
        <w:tc>
          <w:tcPr>
            <w:tcW w:type="dxa" w:w="3300"/>
            <w:vAlign w:val="center"/>
          </w:tcPr>
          <w:p>
            <w:pPr>
              <w:spacing w:after="40"/>
            </w:pPr>
            <w:r>
              <w:rPr>
                <w:sz w:val="18"/>
              </w:rPr>
              <w:t>Random three-number seeds through same π/φ transform</w:t>
            </w:r>
          </w:p>
        </w:tc>
        <w:tc>
          <w:tcPr>
            <w:tcW w:type="dxa" w:w="2200"/>
            <w:vAlign w:val="center"/>
          </w:tcPr>
          <w:p>
            <w:pPr>
              <w:spacing w:after="40"/>
            </w:pPr>
            <w:r>
              <w:rPr>
                <w:sz w:val="18"/>
              </w:rPr>
              <w:t>p≈0.0803</w:t>
            </w:r>
          </w:p>
        </w:tc>
        <w:tc>
          <w:tcPr>
            <w:tcW w:type="dxa" w:w="3300"/>
            <w:vAlign w:val="center"/>
          </w:tcPr>
          <w:p>
            <w:pPr>
              <w:spacing w:after="40"/>
            </w:pPr>
            <w:r>
              <w:rPr>
                <w:sz w:val="18"/>
              </w:rPr>
              <w:t>Interesting but not conventionally significant</w:t>
            </w:r>
          </w:p>
        </w:tc>
      </w:tr>
      <w:tr>
        <w:tc>
          <w:tcPr>
            <w:tcW w:type="dxa" w:w="3300"/>
            <w:vAlign w:val="center"/>
          </w:tcPr>
          <w:p>
            <w:pPr>
              <w:spacing w:after="40"/>
            </w:pPr>
            <w:r>
              <w:rPr>
                <w:sz w:val="18"/>
              </w:rPr>
              <w:t>Shape-matched seeds: two small + one large</w:t>
            </w:r>
          </w:p>
        </w:tc>
        <w:tc>
          <w:tcPr>
            <w:tcW w:type="dxa" w:w="2200"/>
            <w:vAlign w:val="center"/>
          </w:tcPr>
          <w:p>
            <w:pPr>
              <w:spacing w:after="40"/>
            </w:pPr>
            <w:r>
              <w:rPr>
                <w:sz w:val="18"/>
              </w:rPr>
              <w:t>p≈0.3121</w:t>
            </w:r>
          </w:p>
        </w:tc>
        <w:tc>
          <w:tcPr>
            <w:tcW w:type="dxa" w:w="3300"/>
            <w:vAlign w:val="center"/>
          </w:tcPr>
          <w:p>
            <w:pPr>
              <w:spacing w:after="40"/>
            </w:pPr>
            <w:r>
              <w:rPr>
                <w:sz w:val="18"/>
              </w:rPr>
              <w:t>Effect disappears under the closest control</w:t>
            </w:r>
          </w:p>
        </w:tc>
      </w:tr>
    </w:tbl>
    <w:p>
      <w:r>
        <w:t>Short locks 2 and 4 naturally capture the manuscript’s strongest local dependence. Many unrelated transformed seeds—including 5/8/9, 5/6/17, and 10/14/16—matched or exceeded the proposed 7/12/49 base. This demonstrates why the complete transformation family must be included in the null model.</w:t>
      </w:r>
    </w:p>
    <w:p>
      <w:pPr>
        <w:pStyle w:val="Heading2"/>
      </w:pPr>
      <w:r>
        <w:t>11.3 Semantic tests</w:t>
      </w:r>
    </w:p>
    <w:tbl>
      <w:tblPr>
        <w:tblStyle w:val="TableGrid"/>
        <w:tblW w:type="dxa" w:w="8800"/>
        <w:jc w:val="center"/>
        <w:tblLayout w:type="fixed"/>
        <w:tblLook w:firstColumn="1" w:firstRow="1" w:lastColumn="0" w:lastRow="0" w:noHBand="0" w:noVBand="1" w:val="04A0"/>
      </w:tblPr>
      <w:tblGrid>
        <w:gridCol w:w="3900"/>
        <w:gridCol w:w="2450"/>
        <w:gridCol w:w="2450"/>
      </w:tblGrid>
      <w:tr>
        <w:tc>
          <w:tcPr>
            <w:tcW w:type="dxa" w:w="3900"/>
            <w:shd w:fill="E8EEF5"/>
          </w:tcPr>
          <w:p>
            <w:pPr>
              <w:keepNext/>
            </w:pPr>
            <w:r>
              <w:rPr>
                <w:b/>
                <w:sz w:val="18"/>
              </w:rPr>
              <w:t>ZD30 orientation</w:t>
            </w:r>
          </w:p>
        </w:tc>
        <w:tc>
          <w:tcPr>
            <w:tcW w:type="dxa" w:w="2450"/>
            <w:shd w:fill="E8EEF5"/>
          </w:tcPr>
          <w:p>
            <w:pPr>
              <w:keepNext/>
            </w:pPr>
            <w:r>
              <w:rPr>
                <w:b/>
                <w:sz w:val="18"/>
              </w:rPr>
              <w:t>Training</w:t>
            </w:r>
          </w:p>
        </w:tc>
        <w:tc>
          <w:tcPr>
            <w:tcW w:type="dxa" w:w="2450"/>
            <w:shd w:fill="E8EEF5"/>
          </w:tcPr>
          <w:p>
            <w:pPr>
              <w:keepNext/>
            </w:pPr>
            <w:r>
              <w:rPr>
                <w:b/>
                <w:sz w:val="18"/>
              </w:rPr>
              <w:t>Held-out</w:t>
            </w:r>
          </w:p>
        </w:tc>
      </w:tr>
      <w:tr>
        <w:tc>
          <w:tcPr>
            <w:tcW w:type="dxa" w:w="3900"/>
            <w:vAlign w:val="center"/>
          </w:tcPr>
          <w:p>
            <w:pPr>
              <w:keepLines/>
              <w:spacing w:after="40"/>
            </w:pPr>
            <w:r>
              <w:rPr>
                <w:sz w:val="18"/>
              </w:rPr>
              <w:t>Forward</w:t>
            </w:r>
          </w:p>
        </w:tc>
        <w:tc>
          <w:tcPr>
            <w:tcW w:type="dxa" w:w="2450"/>
            <w:vAlign w:val="center"/>
          </w:tcPr>
          <w:p>
            <w:pPr>
              <w:keepLines/>
              <w:spacing w:after="40"/>
            </w:pPr>
            <w:r>
              <w:rPr>
                <w:sz w:val="18"/>
              </w:rPr>
              <w:t>−5.83</w:t>
            </w:r>
          </w:p>
        </w:tc>
        <w:tc>
          <w:tcPr>
            <w:tcW w:type="dxa" w:w="2450"/>
            <w:vAlign w:val="center"/>
          </w:tcPr>
          <w:p>
            <w:pPr>
              <w:keepLines/>
              <w:spacing w:after="40"/>
            </w:pPr>
            <w:r>
              <w:rPr>
                <w:sz w:val="18"/>
              </w:rPr>
              <w:t>−6.10</w:t>
            </w:r>
          </w:p>
        </w:tc>
      </w:tr>
      <w:tr>
        <w:tc>
          <w:tcPr>
            <w:tcW w:type="dxa" w:w="3900"/>
            <w:vAlign w:val="center"/>
          </w:tcPr>
          <w:p>
            <w:pPr>
              <w:spacing w:after="40"/>
            </w:pPr>
            <w:r>
              <w:rPr>
                <w:sz w:val="18"/>
              </w:rPr>
              <w:t>Reverse</w:t>
            </w:r>
          </w:p>
        </w:tc>
        <w:tc>
          <w:tcPr>
            <w:tcW w:type="dxa" w:w="2450"/>
            <w:vAlign w:val="center"/>
          </w:tcPr>
          <w:p>
            <w:pPr>
              <w:spacing w:after="40"/>
            </w:pPr>
            <w:r>
              <w:rPr>
                <w:sz w:val="18"/>
              </w:rPr>
              <w:t>−5.82</w:t>
            </w:r>
          </w:p>
        </w:tc>
        <w:tc>
          <w:tcPr>
            <w:tcW w:type="dxa" w:w="2450"/>
            <w:vAlign w:val="center"/>
          </w:tcPr>
          <w:p>
            <w:pPr>
              <w:spacing w:after="40"/>
            </w:pPr>
            <w:r>
              <w:rPr>
                <w:sz w:val="18"/>
              </w:rPr>
              <w:t>−5.92</w:t>
            </w:r>
          </w:p>
        </w:tc>
      </w:tr>
      <w:tr>
        <w:tc>
          <w:tcPr>
            <w:tcW w:type="dxa" w:w="3900"/>
            <w:vAlign w:val="center"/>
          </w:tcPr>
          <w:p>
            <w:pPr>
              <w:spacing w:after="40"/>
            </w:pPr>
            <w:r>
              <w:rPr>
                <w:sz w:val="18"/>
              </w:rPr>
              <w:t>Alternating forward/reverse</w:t>
            </w:r>
          </w:p>
        </w:tc>
        <w:tc>
          <w:tcPr>
            <w:tcW w:type="dxa" w:w="2450"/>
            <w:vAlign w:val="center"/>
          </w:tcPr>
          <w:p>
            <w:pPr>
              <w:spacing w:after="40"/>
            </w:pPr>
            <w:r>
              <w:rPr>
                <w:sz w:val="18"/>
              </w:rPr>
              <w:t>−5.72</w:t>
            </w:r>
          </w:p>
        </w:tc>
        <w:tc>
          <w:tcPr>
            <w:tcW w:type="dxa" w:w="2450"/>
            <w:vAlign w:val="center"/>
          </w:tcPr>
          <w:p>
            <w:pPr>
              <w:spacing w:after="40"/>
            </w:pPr>
            <w:r>
              <w:rPr>
                <w:sz w:val="18"/>
              </w:rPr>
              <w:t>−5.71</w:t>
            </w:r>
          </w:p>
        </w:tc>
      </w:tr>
      <w:tr>
        <w:tc>
          <w:tcPr>
            <w:tcW w:type="dxa" w:w="3900"/>
            <w:vAlign w:val="center"/>
          </w:tcPr>
          <w:p>
            <w:pPr>
              <w:spacing w:after="40"/>
            </w:pPr>
            <w:r>
              <w:rPr>
                <w:sz w:val="18"/>
              </w:rPr>
              <w:t>Natural English</w:t>
            </w:r>
          </w:p>
        </w:tc>
        <w:tc>
          <w:tcPr>
            <w:tcW w:type="dxa" w:w="2450"/>
            <w:vAlign w:val="center"/>
          </w:tcPr>
          <w:p>
            <w:pPr>
              <w:spacing w:after="40"/>
            </w:pPr>
            <w:r>
              <w:rPr>
                <w:sz w:val="18"/>
              </w:rPr>
              <w:t>≈−3.55</w:t>
            </w:r>
          </w:p>
        </w:tc>
        <w:tc>
          <w:tcPr>
            <w:tcW w:type="dxa" w:w="2450"/>
            <w:vAlign w:val="center"/>
          </w:tcPr>
          <w:p>
            <w:pPr>
              <w:spacing w:after="40"/>
            </w:pPr>
            <w:r>
              <w:rPr>
                <w:sz w:val="18"/>
              </w:rPr>
              <w:t>≈−3.55</w:t>
            </w:r>
          </w:p>
        </w:tc>
      </w:tr>
    </w:tbl>
    <w:p>
      <w:r>
        <w:t>Alternating forward/reverse was the strongest ZD30 orientation, but the output remained nonlinguistic. The Observer and Lamb Lens stages were treated as validation gates only; allowing contextual or symbolic interpretation to choose words would remove falsifiability.</w:t>
      </w:r>
    </w:p>
    <w:p>
      <w:r>
        <w:br w:type="page"/>
      </w:r>
    </w:p>
    <w:p>
      <w:pPr>
        <w:pStyle w:val="Heading1"/>
      </w:pPr>
      <w:r>
        <w:t>12. Combined ABAD → Harmonic → ZD30 Pipeline</w:t>
      </w:r>
    </w:p>
    <w:p>
      <w:pPr>
        <w:pStyle w:val="Heading2"/>
      </w:pPr>
      <w:r>
        <w:t>12.1 Pipeline construction</w:t>
      </w:r>
    </w:p>
    <w:p>
      <w:r>
        <w:t>The final experiment stacked all three proposed systems. First, ABAD edge features isolated the marker-dense candidate B-stream. Second, the prior 7–φ–49 harmonic protocol identified and ranked candidate positions. Third, ZD30 added π/φ transformations of 7, 12, and 49 and applied forward, reverse, and alternating extraction. All semantic mappings were learned on one portion and applied unchanged to held-out pages.</w:t>
      </w:r>
    </w:p>
    <w:tbl>
      <w:tblPr>
        <w:tblStyle w:val="TableGrid"/>
        <w:tblW w:type="dxa" w:w="8800"/>
        <w:jc w:val="center"/>
        <w:tblLayout w:type="fixed"/>
        <w:tblLook w:firstColumn="1" w:firstRow="1" w:lastColumn="0" w:lastRow="0" w:noHBand="0" w:noVBand="1" w:val="04A0"/>
      </w:tblPr>
      <w:tblGrid>
        <w:gridCol w:w="3900"/>
        <w:gridCol w:w="4900"/>
      </w:tblGrid>
      <w:tr>
        <w:tc>
          <w:tcPr>
            <w:tcW w:type="dxa" w:w="3900"/>
            <w:shd w:fill="E8EEF5"/>
          </w:tcPr>
          <w:p>
            <w:pPr>
              <w:keepNext/>
            </w:pPr>
            <w:r>
              <w:rPr>
                <w:b/>
                <w:sz w:val="18"/>
              </w:rPr>
              <w:t>Combined-pipeline component</w:t>
            </w:r>
          </w:p>
        </w:tc>
        <w:tc>
          <w:tcPr>
            <w:tcW w:type="dxa" w:w="4900"/>
            <w:shd w:fill="E8EEF5"/>
          </w:tcPr>
          <w:p>
            <w:pPr>
              <w:keepNext/>
            </w:pPr>
            <w:r>
              <w:rPr>
                <w:b/>
                <w:sz w:val="18"/>
              </w:rPr>
              <w:t>Result</w:t>
            </w:r>
          </w:p>
        </w:tc>
      </w:tr>
      <w:tr>
        <w:tc>
          <w:tcPr>
            <w:tcW w:type="dxa" w:w="3900"/>
            <w:vAlign w:val="center"/>
          </w:tcPr>
          <w:p>
            <w:pPr>
              <w:keepLines/>
              <w:spacing w:after="40"/>
            </w:pPr>
            <w:r>
              <w:rPr>
                <w:sz w:val="18"/>
              </w:rPr>
              <w:t>Candidate B-stream</w:t>
            </w:r>
          </w:p>
        </w:tc>
        <w:tc>
          <w:tcPr>
            <w:tcW w:type="dxa" w:w="4900"/>
            <w:vAlign w:val="center"/>
          </w:tcPr>
          <w:p>
            <w:pPr>
              <w:keepLines/>
              <w:spacing w:after="40"/>
            </w:pPr>
            <w:r>
              <w:rPr>
                <w:sz w:val="18"/>
              </w:rPr>
              <w:t>12,254 tokens; 31.62% of the corpus; 226 pages represented</w:t>
            </w:r>
          </w:p>
        </w:tc>
      </w:tr>
      <w:tr>
        <w:tc>
          <w:tcPr>
            <w:tcW w:type="dxa" w:w="3900"/>
            <w:vAlign w:val="center"/>
          </w:tcPr>
          <w:p>
            <w:pPr>
              <w:spacing w:after="40"/>
            </w:pPr>
            <w:r>
              <w:rPr>
                <w:sz w:val="18"/>
              </w:rPr>
              <w:t>Transformed locks</w:t>
            </w:r>
          </w:p>
        </w:tc>
        <w:tc>
          <w:tcPr>
            <w:tcW w:type="dxa" w:w="4900"/>
            <w:vAlign w:val="center"/>
          </w:tcPr>
          <w:p>
            <w:pPr>
              <w:spacing w:after="40"/>
            </w:pPr>
            <w:r>
              <w:rPr>
                <w:sz w:val="18"/>
              </w:rPr>
              <w:t>2, 4, 7, 11, 12, 16, 19, 22, 30, 38, 49, 79</w:t>
            </w:r>
          </w:p>
        </w:tc>
      </w:tr>
      <w:tr>
        <w:tc>
          <w:tcPr>
            <w:tcW w:type="dxa" w:w="3900"/>
            <w:vAlign w:val="center"/>
          </w:tcPr>
          <w:p>
            <w:pPr>
              <w:spacing w:after="40"/>
            </w:pPr>
            <w:r>
              <w:rPr>
                <w:sz w:val="18"/>
              </w:rPr>
              <w:t>Raw composite percentile</w:t>
            </w:r>
          </w:p>
        </w:tc>
        <w:tc>
          <w:tcPr>
            <w:tcW w:type="dxa" w:w="4900"/>
            <w:vAlign w:val="center"/>
          </w:tcPr>
          <w:p>
            <w:pPr>
              <w:spacing w:after="40"/>
            </w:pPr>
            <w:r>
              <w:rPr>
                <w:sz w:val="18"/>
              </w:rPr>
              <w:t>74.69th percentile</w:t>
            </w:r>
          </w:p>
        </w:tc>
      </w:tr>
      <w:tr>
        <w:tc>
          <w:tcPr>
            <w:tcW w:type="dxa" w:w="3900"/>
            <w:vAlign w:val="center"/>
          </w:tcPr>
          <w:p>
            <w:pPr>
              <w:spacing w:after="40"/>
            </w:pPr>
            <w:r>
              <w:rPr>
                <w:sz w:val="18"/>
              </w:rPr>
              <w:t>Shape-matched control mean</w:t>
            </w:r>
          </w:p>
        </w:tc>
        <w:tc>
          <w:tcPr>
            <w:tcW w:type="dxa" w:w="4900"/>
            <w:vAlign w:val="center"/>
          </w:tcPr>
          <w:p>
            <w:pPr>
              <w:spacing w:after="40"/>
            </w:pPr>
            <w:r>
              <w:rPr>
                <w:sz w:val="18"/>
              </w:rPr>
              <w:t>74.30th percentile</w:t>
            </w:r>
          </w:p>
        </w:tc>
      </w:tr>
      <w:tr>
        <w:tc>
          <w:tcPr>
            <w:tcW w:type="dxa" w:w="3900"/>
            <w:vAlign w:val="center"/>
          </w:tcPr>
          <w:p>
            <w:pPr>
              <w:spacing w:after="40"/>
            </w:pPr>
            <w:r>
              <w:rPr>
                <w:sz w:val="18"/>
              </w:rPr>
              <w:t>Matched significance</w:t>
            </w:r>
          </w:p>
        </w:tc>
        <w:tc>
          <w:tcPr>
            <w:tcW w:type="dxa" w:w="4900"/>
            <w:vAlign w:val="center"/>
          </w:tcPr>
          <w:p>
            <w:pPr>
              <w:spacing w:after="40"/>
            </w:pPr>
            <w:r>
              <w:rPr>
                <w:sz w:val="18"/>
              </w:rPr>
              <w:t>p≈0.4827</w:t>
            </w:r>
          </w:p>
        </w:tc>
      </w:tr>
      <w:tr>
        <w:tc>
          <w:tcPr>
            <w:tcW w:type="dxa" w:w="3900"/>
            <w:vAlign w:val="center"/>
          </w:tcPr>
          <w:p>
            <w:pPr>
              <w:spacing w:after="40"/>
            </w:pPr>
            <w:r>
              <w:rPr>
                <w:sz w:val="18"/>
              </w:rPr>
              <w:t>Pages long enough to reach B-stream lock 79</w:t>
            </w:r>
          </w:p>
        </w:tc>
        <w:tc>
          <w:tcPr>
            <w:tcW w:type="dxa" w:w="4900"/>
            <w:vAlign w:val="center"/>
          </w:tcPr>
          <w:p>
            <w:pPr>
              <w:spacing w:after="40"/>
            </w:pPr>
            <w:r>
              <w:rPr>
                <w:sz w:val="18"/>
              </w:rPr>
              <w:t>51 pages</w:t>
            </w:r>
          </w:p>
        </w:tc>
      </w:tr>
    </w:tbl>
    <w:p>
      <w:pPr>
        <w:pStyle w:val="Heading2"/>
      </w:pPr>
      <w:r>
        <w:t>12.2 Individual lock behavior in B-stream</w:t>
      </w:r>
    </w:p>
    <w:tbl>
      <w:tblPr>
        <w:tblStyle w:val="TableGrid"/>
        <w:tblW w:type="dxa" w:w="8800"/>
        <w:jc w:val="center"/>
        <w:tblLayout w:type="fixed"/>
        <w:tblLook w:firstColumn="1" w:firstRow="1" w:lastColumn="0" w:lastRow="0" w:noHBand="0" w:noVBand="1" w:val="04A0"/>
      </w:tblPr>
      <w:tblGrid>
        <w:gridCol w:w="1900"/>
        <w:gridCol w:w="2500"/>
        <w:gridCol w:w="1900"/>
        <w:gridCol w:w="2500"/>
      </w:tblGrid>
      <w:tr>
        <w:tc>
          <w:tcPr>
            <w:tcW w:type="dxa" w:w="1900"/>
            <w:shd w:fill="E8EEF5"/>
          </w:tcPr>
          <w:p>
            <w:pPr>
              <w:keepNext/>
            </w:pPr>
            <w:r>
              <w:rPr>
                <w:b/>
                <w:sz w:val="18"/>
              </w:rPr>
              <w:t>Lock</w:t>
            </w:r>
          </w:p>
        </w:tc>
        <w:tc>
          <w:tcPr>
            <w:tcW w:type="dxa" w:w="2500"/>
            <w:shd w:fill="E8EEF5"/>
          </w:tcPr>
          <w:p>
            <w:pPr>
              <w:keepNext/>
            </w:pPr>
            <w:r>
              <w:rPr>
                <w:b/>
                <w:sz w:val="18"/>
              </w:rPr>
              <w:t>Structural percentile</w:t>
            </w:r>
          </w:p>
        </w:tc>
        <w:tc>
          <w:tcPr>
            <w:tcW w:type="dxa" w:w="1900"/>
            <w:shd w:fill="E8EEF5"/>
          </w:tcPr>
          <w:p>
            <w:pPr>
              <w:keepNext/>
            </w:pPr>
            <w:r>
              <w:rPr>
                <w:b/>
                <w:sz w:val="18"/>
              </w:rPr>
              <w:t>Lock</w:t>
            </w:r>
          </w:p>
        </w:tc>
        <w:tc>
          <w:tcPr>
            <w:tcW w:type="dxa" w:w="2500"/>
            <w:shd w:fill="E8EEF5"/>
          </w:tcPr>
          <w:p>
            <w:pPr>
              <w:keepNext/>
            </w:pPr>
            <w:r>
              <w:rPr>
                <w:b/>
                <w:sz w:val="18"/>
              </w:rPr>
              <w:t>Structural percentile</w:t>
            </w:r>
          </w:p>
        </w:tc>
      </w:tr>
      <w:tr>
        <w:tc>
          <w:tcPr>
            <w:tcW w:type="dxa" w:w="1900"/>
            <w:vAlign w:val="center"/>
          </w:tcPr>
          <w:p>
            <w:pPr>
              <w:keepLines/>
              <w:spacing w:after="40"/>
            </w:pPr>
            <w:r>
              <w:rPr>
                <w:sz w:val="18"/>
              </w:rPr>
              <w:t>2</w:t>
            </w:r>
          </w:p>
        </w:tc>
        <w:tc>
          <w:tcPr>
            <w:tcW w:type="dxa" w:w="2500"/>
            <w:vAlign w:val="center"/>
          </w:tcPr>
          <w:p>
            <w:pPr>
              <w:keepLines/>
              <w:spacing w:after="40"/>
            </w:pPr>
            <w:r>
              <w:rPr>
                <w:sz w:val="18"/>
              </w:rPr>
              <w:t>100.0%</w:t>
            </w:r>
          </w:p>
        </w:tc>
        <w:tc>
          <w:tcPr>
            <w:tcW w:type="dxa" w:w="1900"/>
            <w:vAlign w:val="center"/>
          </w:tcPr>
          <w:p>
            <w:pPr>
              <w:keepLines/>
              <w:spacing w:after="40"/>
            </w:pPr>
            <w:r>
              <w:rPr>
                <w:sz w:val="18"/>
              </w:rPr>
              <w:t>19</w:t>
            </w:r>
          </w:p>
        </w:tc>
        <w:tc>
          <w:tcPr>
            <w:tcW w:type="dxa" w:w="2500"/>
            <w:vAlign w:val="center"/>
          </w:tcPr>
          <w:p>
            <w:pPr>
              <w:keepLines/>
              <w:spacing w:after="40"/>
            </w:pPr>
            <w:r>
              <w:rPr>
                <w:sz w:val="18"/>
              </w:rPr>
              <w:t>76.7%</w:t>
            </w:r>
          </w:p>
        </w:tc>
      </w:tr>
      <w:tr>
        <w:tc>
          <w:tcPr>
            <w:tcW w:type="dxa" w:w="1900"/>
            <w:vAlign w:val="center"/>
          </w:tcPr>
          <w:p>
            <w:pPr>
              <w:spacing w:after="40"/>
            </w:pPr>
            <w:r>
              <w:rPr>
                <w:sz w:val="18"/>
              </w:rPr>
              <w:t>4</w:t>
            </w:r>
          </w:p>
        </w:tc>
        <w:tc>
          <w:tcPr>
            <w:tcW w:type="dxa" w:w="2500"/>
            <w:vAlign w:val="center"/>
          </w:tcPr>
          <w:p>
            <w:pPr>
              <w:spacing w:after="40"/>
            </w:pPr>
            <w:r>
              <w:rPr>
                <w:sz w:val="18"/>
              </w:rPr>
              <w:t>93.0%</w:t>
            </w:r>
          </w:p>
        </w:tc>
        <w:tc>
          <w:tcPr>
            <w:tcW w:type="dxa" w:w="1900"/>
            <w:vAlign w:val="center"/>
          </w:tcPr>
          <w:p>
            <w:pPr>
              <w:spacing w:after="40"/>
            </w:pPr>
            <w:r>
              <w:rPr>
                <w:sz w:val="18"/>
              </w:rPr>
              <w:t>22</w:t>
            </w:r>
          </w:p>
        </w:tc>
        <w:tc>
          <w:tcPr>
            <w:tcW w:type="dxa" w:w="2500"/>
            <w:vAlign w:val="center"/>
          </w:tcPr>
          <w:p>
            <w:pPr>
              <w:spacing w:after="40"/>
            </w:pPr>
            <w:r>
              <w:rPr>
                <w:sz w:val="18"/>
              </w:rPr>
              <w:t>69.7%</w:t>
            </w:r>
          </w:p>
        </w:tc>
      </w:tr>
      <w:tr>
        <w:tc>
          <w:tcPr>
            <w:tcW w:type="dxa" w:w="1900"/>
            <w:vAlign w:val="center"/>
          </w:tcPr>
          <w:p>
            <w:pPr>
              <w:spacing w:after="40"/>
            </w:pPr>
            <w:r>
              <w:rPr>
                <w:sz w:val="18"/>
              </w:rPr>
              <w:t>7</w:t>
            </w:r>
          </w:p>
        </w:tc>
        <w:tc>
          <w:tcPr>
            <w:tcW w:type="dxa" w:w="2500"/>
            <w:vAlign w:val="center"/>
          </w:tcPr>
          <w:p>
            <w:pPr>
              <w:spacing w:after="40"/>
            </w:pPr>
            <w:r>
              <w:rPr>
                <w:sz w:val="18"/>
              </w:rPr>
              <w:t>91.3%</w:t>
            </w:r>
          </w:p>
        </w:tc>
        <w:tc>
          <w:tcPr>
            <w:tcW w:type="dxa" w:w="1900"/>
            <w:vAlign w:val="center"/>
          </w:tcPr>
          <w:p>
            <w:pPr>
              <w:spacing w:after="40"/>
            </w:pPr>
            <w:r>
              <w:rPr>
                <w:sz w:val="18"/>
              </w:rPr>
              <w:t>30</w:t>
            </w:r>
          </w:p>
        </w:tc>
        <w:tc>
          <w:tcPr>
            <w:tcW w:type="dxa" w:w="2500"/>
            <w:vAlign w:val="center"/>
          </w:tcPr>
          <w:p>
            <w:pPr>
              <w:spacing w:after="40"/>
            </w:pPr>
            <w:r>
              <w:rPr>
                <w:sz w:val="18"/>
              </w:rPr>
              <w:t>78.7%</w:t>
            </w:r>
          </w:p>
        </w:tc>
      </w:tr>
      <w:tr>
        <w:tc>
          <w:tcPr>
            <w:tcW w:type="dxa" w:w="1900"/>
            <w:vAlign w:val="center"/>
          </w:tcPr>
          <w:p>
            <w:pPr>
              <w:spacing w:after="40"/>
            </w:pPr>
            <w:r>
              <w:rPr>
                <w:sz w:val="18"/>
              </w:rPr>
              <w:t>11</w:t>
            </w:r>
          </w:p>
        </w:tc>
        <w:tc>
          <w:tcPr>
            <w:tcW w:type="dxa" w:w="2500"/>
            <w:vAlign w:val="center"/>
          </w:tcPr>
          <w:p>
            <w:pPr>
              <w:spacing w:after="40"/>
            </w:pPr>
            <w:r>
              <w:rPr>
                <w:sz w:val="18"/>
              </w:rPr>
              <w:t>82.7%</w:t>
            </w:r>
          </w:p>
        </w:tc>
        <w:tc>
          <w:tcPr>
            <w:tcW w:type="dxa" w:w="1900"/>
            <w:vAlign w:val="center"/>
          </w:tcPr>
          <w:p>
            <w:pPr>
              <w:spacing w:after="40"/>
            </w:pPr>
            <w:r>
              <w:rPr>
                <w:sz w:val="18"/>
              </w:rPr>
              <w:t>38</w:t>
            </w:r>
          </w:p>
        </w:tc>
        <w:tc>
          <w:tcPr>
            <w:tcW w:type="dxa" w:w="2500"/>
            <w:vAlign w:val="center"/>
          </w:tcPr>
          <w:p>
            <w:pPr>
              <w:spacing w:after="40"/>
            </w:pPr>
            <w:r>
              <w:rPr>
                <w:sz w:val="18"/>
              </w:rPr>
              <w:t>75.7%</w:t>
            </w:r>
          </w:p>
        </w:tc>
      </w:tr>
      <w:tr>
        <w:tc>
          <w:tcPr>
            <w:tcW w:type="dxa" w:w="1900"/>
            <w:vAlign w:val="center"/>
          </w:tcPr>
          <w:p>
            <w:pPr>
              <w:spacing w:after="40"/>
            </w:pPr>
            <w:r>
              <w:rPr>
                <w:sz w:val="18"/>
              </w:rPr>
              <w:t>12</w:t>
            </w:r>
          </w:p>
        </w:tc>
        <w:tc>
          <w:tcPr>
            <w:tcW w:type="dxa" w:w="2500"/>
            <w:vAlign w:val="center"/>
          </w:tcPr>
          <w:p>
            <w:pPr>
              <w:spacing w:after="40"/>
            </w:pPr>
            <w:r>
              <w:rPr>
                <w:sz w:val="18"/>
              </w:rPr>
              <w:t>79.0%</w:t>
            </w:r>
          </w:p>
        </w:tc>
        <w:tc>
          <w:tcPr>
            <w:tcW w:type="dxa" w:w="1900"/>
            <w:vAlign w:val="center"/>
          </w:tcPr>
          <w:p>
            <w:pPr>
              <w:spacing w:after="40"/>
            </w:pPr>
            <w:r>
              <w:rPr>
                <w:sz w:val="18"/>
              </w:rPr>
              <w:t>49</w:t>
            </w:r>
          </w:p>
        </w:tc>
        <w:tc>
          <w:tcPr>
            <w:tcW w:type="dxa" w:w="2500"/>
            <w:vAlign w:val="center"/>
          </w:tcPr>
          <w:p>
            <w:pPr>
              <w:spacing w:after="40"/>
            </w:pPr>
            <w:r>
              <w:rPr>
                <w:sz w:val="18"/>
              </w:rPr>
              <w:t>48.0%</w:t>
            </w:r>
          </w:p>
        </w:tc>
      </w:tr>
      <w:tr>
        <w:tc>
          <w:tcPr>
            <w:tcW w:type="dxa" w:w="1900"/>
            <w:vAlign w:val="center"/>
          </w:tcPr>
          <w:p>
            <w:pPr>
              <w:spacing w:after="40"/>
            </w:pPr>
            <w:r>
              <w:rPr>
                <w:sz w:val="18"/>
              </w:rPr>
              <w:t>16</w:t>
            </w:r>
          </w:p>
        </w:tc>
        <w:tc>
          <w:tcPr>
            <w:tcW w:type="dxa" w:w="2500"/>
            <w:vAlign w:val="center"/>
          </w:tcPr>
          <w:p>
            <w:pPr>
              <w:spacing w:after="40"/>
            </w:pPr>
            <w:r>
              <w:rPr>
                <w:sz w:val="18"/>
              </w:rPr>
              <w:t>79.0%</w:t>
            </w:r>
          </w:p>
        </w:tc>
        <w:tc>
          <w:tcPr>
            <w:tcW w:type="dxa" w:w="1900"/>
            <w:vAlign w:val="center"/>
          </w:tcPr>
          <w:p>
            <w:pPr>
              <w:spacing w:after="40"/>
            </w:pPr>
            <w:r>
              <w:rPr>
                <w:sz w:val="18"/>
              </w:rPr>
              <w:t>79</w:t>
            </w:r>
          </w:p>
        </w:tc>
        <w:tc>
          <w:tcPr>
            <w:tcW w:type="dxa" w:w="2500"/>
            <w:vAlign w:val="center"/>
          </w:tcPr>
          <w:p>
            <w:pPr>
              <w:spacing w:after="40"/>
            </w:pPr>
            <w:r>
              <w:rPr>
                <w:sz w:val="18"/>
              </w:rPr>
              <w:t>22.7%</w:t>
            </w:r>
          </w:p>
        </w:tc>
      </w:tr>
    </w:tbl>
    <w:p>
      <w:r>
        <w:t>The early locks are strong because the B-stream is morphologically repetitive at short distances. Lock 49 is median and lock 79 is weak. The complete lock family is statistically typical once controls receive the same transformation.</w:t>
      </w:r>
    </w:p>
    <w:p>
      <w:pPr>
        <w:pStyle w:val="Heading2"/>
      </w:pPr>
      <w:r>
        <w:t>12.3 Combined semantic result</w:t>
      </w:r>
    </w:p>
    <w:tbl>
      <w:tblPr>
        <w:tblStyle w:val="TableGrid"/>
        <w:tblW w:type="dxa" w:w="8800"/>
        <w:jc w:val="center"/>
        <w:tblLayout w:type="fixed"/>
        <w:tblLook w:firstColumn="1" w:firstRow="1" w:lastColumn="0" w:lastRow="0" w:noHBand="0" w:noVBand="1" w:val="04A0"/>
      </w:tblPr>
      <w:tblGrid>
        <w:gridCol w:w="3900"/>
        <w:gridCol w:w="2450"/>
        <w:gridCol w:w="2450"/>
      </w:tblGrid>
      <w:tr>
        <w:tc>
          <w:tcPr>
            <w:tcW w:type="dxa" w:w="3900"/>
            <w:shd w:fill="E8EEF5"/>
          </w:tcPr>
          <w:p>
            <w:pPr>
              <w:keepNext/>
            </w:pPr>
            <w:r>
              <w:rPr>
                <w:b/>
                <w:sz w:val="18"/>
              </w:rPr>
              <w:t>B-stream orientation</w:t>
            </w:r>
          </w:p>
        </w:tc>
        <w:tc>
          <w:tcPr>
            <w:tcW w:type="dxa" w:w="2450"/>
            <w:shd w:fill="E8EEF5"/>
          </w:tcPr>
          <w:p>
            <w:pPr>
              <w:keepNext/>
            </w:pPr>
            <w:r>
              <w:rPr>
                <w:b/>
                <w:sz w:val="18"/>
              </w:rPr>
              <w:t>Training</w:t>
            </w:r>
          </w:p>
        </w:tc>
        <w:tc>
          <w:tcPr>
            <w:tcW w:type="dxa" w:w="2450"/>
            <w:shd w:fill="E8EEF5"/>
          </w:tcPr>
          <w:p>
            <w:pPr>
              <w:keepNext/>
            </w:pPr>
            <w:r>
              <w:rPr>
                <w:b/>
                <w:sz w:val="18"/>
              </w:rPr>
              <w:t>Held-out</w:t>
            </w:r>
          </w:p>
        </w:tc>
      </w:tr>
      <w:tr>
        <w:tc>
          <w:tcPr>
            <w:tcW w:type="dxa" w:w="3900"/>
            <w:vAlign w:val="center"/>
          </w:tcPr>
          <w:p>
            <w:pPr>
              <w:keepLines/>
              <w:spacing w:after="40"/>
            </w:pPr>
            <w:r>
              <w:rPr>
                <w:sz w:val="18"/>
              </w:rPr>
              <w:t>Forward</w:t>
            </w:r>
          </w:p>
        </w:tc>
        <w:tc>
          <w:tcPr>
            <w:tcW w:type="dxa" w:w="2450"/>
            <w:vAlign w:val="center"/>
          </w:tcPr>
          <w:p>
            <w:pPr>
              <w:keepLines/>
              <w:spacing w:after="40"/>
            </w:pPr>
            <w:r>
              <w:rPr>
                <w:sz w:val="18"/>
              </w:rPr>
              <w:t>−5.31</w:t>
            </w:r>
          </w:p>
        </w:tc>
        <w:tc>
          <w:tcPr>
            <w:tcW w:type="dxa" w:w="2450"/>
            <w:vAlign w:val="center"/>
          </w:tcPr>
          <w:p>
            <w:pPr>
              <w:keepLines/>
              <w:spacing w:after="40"/>
            </w:pPr>
            <w:r>
              <w:rPr>
                <w:sz w:val="18"/>
              </w:rPr>
              <w:t>−5.71</w:t>
            </w:r>
          </w:p>
        </w:tc>
      </w:tr>
      <w:tr>
        <w:tc>
          <w:tcPr>
            <w:tcW w:type="dxa" w:w="3900"/>
            <w:vAlign w:val="center"/>
          </w:tcPr>
          <w:p>
            <w:pPr>
              <w:spacing w:after="40"/>
            </w:pPr>
            <w:r>
              <w:rPr>
                <w:sz w:val="18"/>
              </w:rPr>
              <w:t>Reverse</w:t>
            </w:r>
          </w:p>
        </w:tc>
        <w:tc>
          <w:tcPr>
            <w:tcW w:type="dxa" w:w="2450"/>
            <w:vAlign w:val="center"/>
          </w:tcPr>
          <w:p>
            <w:pPr>
              <w:spacing w:after="40"/>
            </w:pPr>
            <w:r>
              <w:rPr>
                <w:sz w:val="18"/>
              </w:rPr>
              <w:t>−5.22</w:t>
            </w:r>
          </w:p>
        </w:tc>
        <w:tc>
          <w:tcPr>
            <w:tcW w:type="dxa" w:w="2450"/>
            <w:vAlign w:val="center"/>
          </w:tcPr>
          <w:p>
            <w:pPr>
              <w:spacing w:after="40"/>
            </w:pPr>
            <w:r>
              <w:rPr>
                <w:sz w:val="18"/>
              </w:rPr>
              <w:t>−5.22</w:t>
            </w:r>
          </w:p>
        </w:tc>
      </w:tr>
      <w:tr>
        <w:tc>
          <w:tcPr>
            <w:tcW w:type="dxa" w:w="3900"/>
            <w:vAlign w:val="center"/>
          </w:tcPr>
          <w:p>
            <w:pPr>
              <w:spacing w:after="40"/>
            </w:pPr>
            <w:r>
              <w:rPr>
                <w:sz w:val="18"/>
              </w:rPr>
              <w:t>Alternating</w:t>
            </w:r>
          </w:p>
        </w:tc>
        <w:tc>
          <w:tcPr>
            <w:tcW w:type="dxa" w:w="2450"/>
            <w:vAlign w:val="center"/>
          </w:tcPr>
          <w:p>
            <w:pPr>
              <w:spacing w:after="40"/>
            </w:pPr>
            <w:r>
              <w:rPr>
                <w:sz w:val="18"/>
              </w:rPr>
              <w:t>−5.35</w:t>
            </w:r>
          </w:p>
        </w:tc>
        <w:tc>
          <w:tcPr>
            <w:tcW w:type="dxa" w:w="2450"/>
            <w:vAlign w:val="center"/>
          </w:tcPr>
          <w:p>
            <w:pPr>
              <w:spacing w:after="40"/>
            </w:pPr>
            <w:r>
              <w:rPr>
                <w:sz w:val="18"/>
              </w:rPr>
              <w:t>−5.59</w:t>
            </w:r>
          </w:p>
        </w:tc>
      </w:tr>
      <w:tr>
        <w:tc>
          <w:tcPr>
            <w:tcW w:type="dxa" w:w="3900"/>
            <w:vAlign w:val="center"/>
          </w:tcPr>
          <w:p>
            <w:pPr>
              <w:spacing w:after="40"/>
            </w:pPr>
            <w:r>
              <w:rPr>
                <w:sz w:val="18"/>
              </w:rPr>
              <w:t>Natural English</w:t>
            </w:r>
          </w:p>
        </w:tc>
        <w:tc>
          <w:tcPr>
            <w:tcW w:type="dxa" w:w="2450"/>
            <w:vAlign w:val="center"/>
          </w:tcPr>
          <w:p>
            <w:pPr>
              <w:spacing w:after="40"/>
            </w:pPr>
            <w:r>
              <w:rPr>
                <w:sz w:val="18"/>
              </w:rPr>
              <w:t>≈−3.55</w:t>
            </w:r>
          </w:p>
        </w:tc>
        <w:tc>
          <w:tcPr>
            <w:tcW w:type="dxa" w:w="2450"/>
            <w:vAlign w:val="center"/>
          </w:tcPr>
          <w:p>
            <w:pPr>
              <w:spacing w:after="40"/>
            </w:pPr>
            <w:r>
              <w:rPr>
                <w:sz w:val="18"/>
              </w:rPr>
              <w:t>≈−3.55</w:t>
            </w:r>
          </w:p>
        </w:tc>
      </w:tr>
    </w:tbl>
    <w:p>
      <w:r>
        <w:t>The reverse B-stream was the strongest semantic-looking result in the full investigation. It produced forms such as “odurx bourch ilnes ints lante intes…” but no identifiable vocabulary, syntax, or source-to-meaning trace. Mapping-free diagnostics showed that its type ratio, repetition concentration, character entropy, and mean token length were virtually identical to transformed random-lock controls. The improvement therefore comes from selecting a restricted morphological family, not from uniquely decoding it.</w:t>
      </w:r>
    </w:p>
    <w:p>
      <w:pPr>
        <w:pStyle w:val="Heading1"/>
      </w:pPr>
      <w:r>
        <w:t>13. Forward/Return Cross-Ledger</w:t>
      </w:r>
    </w:p>
    <w:p>
      <w:pPr>
        <w:pStyle w:val="Heading2"/>
      </w:pPr>
      <w:r>
        <w:t>13.1 Construction</w:t>
      </w:r>
    </w:p>
    <w:p>
      <w:r>
        <w:t>The proposed declining forward series was treated as the outward ledger and then rerun in reverse as a return ledger. On each eligible B-stream page, the forward pass read the ZD30 locks in ascending order from the page start; the return pass read the same locks in descending order from the page end. Corresponding entries were interleaved without changing the previously learned semantic procedure.</w:t>
      </w:r>
    </w:p>
    <w:tbl>
      <w:tblPr>
        <w:tblStyle w:val="TableGrid"/>
        <w:tblW w:type="dxa" w:w="8800"/>
        <w:jc w:val="center"/>
        <w:tblLayout w:type="fixed"/>
        <w:tblLook w:firstColumn="1" w:firstRow="1" w:lastColumn="0" w:lastRow="0" w:noHBand="0" w:noVBand="1" w:val="04A0"/>
      </w:tblPr>
      <w:tblGrid>
        <w:gridCol w:w="1800"/>
        <w:gridCol w:w="2200"/>
        <w:gridCol w:w="4800"/>
      </w:tblGrid>
      <w:tr>
        <w:tc>
          <w:tcPr>
            <w:tcW w:type="dxa" w:w="1800"/>
            <w:shd w:fill="E8EEF5"/>
          </w:tcPr>
          <w:p>
            <w:pPr>
              <w:keepNext/>
            </w:pPr>
            <w:r>
              <w:rPr>
                <w:b/>
                <w:sz w:val="18"/>
              </w:rPr>
              <w:t>Ledger</w:t>
            </w:r>
          </w:p>
        </w:tc>
        <w:tc>
          <w:tcPr>
            <w:tcW w:type="dxa" w:w="2200"/>
            <w:shd w:fill="E8EEF5"/>
          </w:tcPr>
          <w:p>
            <w:pPr>
              <w:keepNext/>
            </w:pPr>
            <w:r>
              <w:rPr>
                <w:b/>
                <w:sz w:val="18"/>
              </w:rPr>
              <w:t>Direction</w:t>
            </w:r>
          </w:p>
        </w:tc>
        <w:tc>
          <w:tcPr>
            <w:tcW w:type="dxa" w:w="4800"/>
            <w:shd w:fill="E8EEF5"/>
          </w:tcPr>
          <w:p>
            <w:pPr>
              <w:keepNext/>
            </w:pPr>
            <w:r>
              <w:rPr>
                <w:b/>
                <w:sz w:val="18"/>
              </w:rPr>
              <w:t>Lock order</w:t>
            </w:r>
          </w:p>
        </w:tc>
      </w:tr>
      <w:tr>
        <w:tc>
          <w:tcPr>
            <w:tcW w:type="dxa" w:w="1800"/>
            <w:vAlign w:val="center"/>
          </w:tcPr>
          <w:p>
            <w:pPr>
              <w:keepLines/>
              <w:spacing w:after="40"/>
            </w:pPr>
            <w:r>
              <w:rPr>
                <w:sz w:val="18"/>
              </w:rPr>
              <w:t>Outward</w:t>
            </w:r>
          </w:p>
        </w:tc>
        <w:tc>
          <w:tcPr>
            <w:tcW w:type="dxa" w:w="2200"/>
            <w:vAlign w:val="center"/>
          </w:tcPr>
          <w:p>
            <w:pPr>
              <w:keepLines/>
              <w:spacing w:after="40"/>
            </w:pPr>
            <w:r>
              <w:rPr>
                <w:sz w:val="18"/>
              </w:rPr>
              <w:t>From page start</w:t>
            </w:r>
          </w:p>
        </w:tc>
        <w:tc>
          <w:tcPr>
            <w:tcW w:type="dxa" w:w="4800"/>
            <w:vAlign w:val="center"/>
          </w:tcPr>
          <w:p>
            <w:pPr>
              <w:keepLines/>
              <w:spacing w:after="40"/>
            </w:pPr>
            <w:r>
              <w:rPr>
                <w:sz w:val="18"/>
              </w:rPr>
              <w:t>2, 4, 7, 11, 12, 16, 19, 22, 30, 38, 49, 79</w:t>
            </w:r>
          </w:p>
        </w:tc>
      </w:tr>
      <w:tr>
        <w:tc>
          <w:tcPr>
            <w:tcW w:type="dxa" w:w="1800"/>
            <w:vAlign w:val="center"/>
          </w:tcPr>
          <w:p>
            <w:pPr>
              <w:spacing w:after="40"/>
            </w:pPr>
            <w:r>
              <w:rPr>
                <w:sz w:val="18"/>
              </w:rPr>
              <w:t>Return</w:t>
            </w:r>
          </w:p>
        </w:tc>
        <w:tc>
          <w:tcPr>
            <w:tcW w:type="dxa" w:w="2200"/>
            <w:vAlign w:val="center"/>
          </w:tcPr>
          <w:p>
            <w:pPr>
              <w:spacing w:after="40"/>
            </w:pPr>
            <w:r>
              <w:rPr>
                <w:sz w:val="18"/>
              </w:rPr>
              <w:t>From page end</w:t>
            </w:r>
          </w:p>
        </w:tc>
        <w:tc>
          <w:tcPr>
            <w:tcW w:type="dxa" w:w="4800"/>
            <w:vAlign w:val="center"/>
          </w:tcPr>
          <w:p>
            <w:pPr>
              <w:spacing w:after="40"/>
            </w:pPr>
            <w:r>
              <w:rPr>
                <w:sz w:val="18"/>
              </w:rPr>
              <w:t>79, 49, 38, 30, 22, 19, 16, 12, 11, 7, 4, 2</w:t>
            </w:r>
          </w:p>
        </w:tc>
      </w:tr>
    </w:tbl>
    <w:p>
      <w:r>
        <w:t>Fifty-one pages reached B-stream position 79, producing 612 outward rows, 612 return rows, and 1,224 interleaved tokens.</w:t>
      </w:r>
    </w:p>
    <w:p>
      <w:pPr>
        <w:pStyle w:val="Heading2"/>
      </w:pPr>
      <w:r>
        <w:t>13.2 Cross-ledger agreement controls</w:t>
      </w:r>
    </w:p>
    <w:tbl>
      <w:tblPr>
        <w:tblStyle w:val="TableGrid"/>
        <w:tblW w:type="dxa" w:w="8800"/>
        <w:jc w:val="center"/>
        <w:tblLayout w:type="fixed"/>
        <w:tblLook w:firstColumn="1" w:firstRow="1" w:lastColumn="0" w:lastRow="0" w:noHBand="0" w:noVBand="1" w:val="04A0"/>
      </w:tblPr>
      <w:tblGrid>
        <w:gridCol w:w="2700"/>
        <w:gridCol w:w="1900"/>
        <w:gridCol w:w="2400"/>
        <w:gridCol w:w="1800"/>
      </w:tblGrid>
      <w:tr>
        <w:tc>
          <w:tcPr>
            <w:tcW w:type="dxa" w:w="2700"/>
            <w:shd w:fill="E8EEF5"/>
          </w:tcPr>
          <w:p>
            <w:pPr>
              <w:keepNext/>
            </w:pPr>
            <w:r>
              <w:rPr>
                <w:b/>
                <w:sz w:val="18"/>
              </w:rPr>
              <w:t>Agreement measure</w:t>
            </w:r>
          </w:p>
        </w:tc>
        <w:tc>
          <w:tcPr>
            <w:tcW w:type="dxa" w:w="1900"/>
            <w:shd w:fill="E8EEF5"/>
          </w:tcPr>
          <w:p>
            <w:pPr>
              <w:keepNext/>
            </w:pPr>
            <w:r>
              <w:rPr>
                <w:b/>
                <w:sz w:val="18"/>
              </w:rPr>
              <w:t>Observed</w:t>
            </w:r>
          </w:p>
        </w:tc>
        <w:tc>
          <w:tcPr>
            <w:tcW w:type="dxa" w:w="2400"/>
            <w:shd w:fill="E8EEF5"/>
          </w:tcPr>
          <w:p>
            <w:pPr>
              <w:keepNext/>
            </w:pPr>
            <w:r>
              <w:rPr>
                <w:b/>
                <w:sz w:val="18"/>
              </w:rPr>
              <w:t>Shuffled-return mean</w:t>
            </w:r>
          </w:p>
        </w:tc>
        <w:tc>
          <w:tcPr>
            <w:tcW w:type="dxa" w:w="1800"/>
            <w:shd w:fill="E8EEF5"/>
          </w:tcPr>
          <w:p>
            <w:pPr>
              <w:keepNext/>
            </w:pPr>
            <w:r>
              <w:rPr>
                <w:b/>
                <w:sz w:val="18"/>
              </w:rPr>
              <w:t>Permutation p</w:t>
            </w:r>
          </w:p>
        </w:tc>
      </w:tr>
      <w:tr>
        <w:tc>
          <w:tcPr>
            <w:tcW w:type="dxa" w:w="2700"/>
            <w:vAlign w:val="center"/>
          </w:tcPr>
          <w:p>
            <w:pPr>
              <w:keepLines/>
              <w:spacing w:after="40"/>
            </w:pPr>
            <w:r>
              <w:rPr>
                <w:sz w:val="18"/>
              </w:rPr>
              <w:t>Exact token</w:t>
            </w:r>
          </w:p>
        </w:tc>
        <w:tc>
          <w:tcPr>
            <w:tcW w:type="dxa" w:w="1900"/>
            <w:vAlign w:val="center"/>
          </w:tcPr>
          <w:p>
            <w:pPr>
              <w:keepLines/>
              <w:spacing w:after="40"/>
            </w:pPr>
            <w:r>
              <w:rPr>
                <w:sz w:val="18"/>
              </w:rPr>
              <w:t>0.01634</w:t>
            </w:r>
          </w:p>
        </w:tc>
        <w:tc>
          <w:tcPr>
            <w:tcW w:type="dxa" w:w="2400"/>
            <w:vAlign w:val="center"/>
          </w:tcPr>
          <w:p>
            <w:pPr>
              <w:keepLines/>
              <w:spacing w:after="40"/>
            </w:pPr>
            <w:r>
              <w:rPr>
                <w:sz w:val="18"/>
              </w:rPr>
              <w:t>0.01766</w:t>
            </w:r>
          </w:p>
        </w:tc>
        <w:tc>
          <w:tcPr>
            <w:tcW w:type="dxa" w:w="1800"/>
            <w:vAlign w:val="center"/>
          </w:tcPr>
          <w:p>
            <w:pPr>
              <w:keepLines/>
              <w:spacing w:after="40"/>
            </w:pPr>
            <w:r>
              <w:rPr>
                <w:sz w:val="18"/>
              </w:rPr>
              <w:t>0.64342</w:t>
            </w:r>
          </w:p>
        </w:tc>
      </w:tr>
      <w:tr>
        <w:tc>
          <w:tcPr>
            <w:tcW w:type="dxa" w:w="2700"/>
            <w:vAlign w:val="center"/>
          </w:tcPr>
          <w:p>
            <w:pPr>
              <w:spacing w:after="40"/>
            </w:pPr>
            <w:r>
              <w:rPr>
                <w:sz w:val="18"/>
              </w:rPr>
              <w:t>Shared prefix</w:t>
            </w:r>
          </w:p>
        </w:tc>
        <w:tc>
          <w:tcPr>
            <w:tcW w:type="dxa" w:w="1900"/>
            <w:vAlign w:val="center"/>
          </w:tcPr>
          <w:p>
            <w:pPr>
              <w:spacing w:after="40"/>
            </w:pPr>
            <w:r>
              <w:rPr>
                <w:sz w:val="18"/>
              </w:rPr>
              <w:t>0.14379</w:t>
            </w:r>
          </w:p>
        </w:tc>
        <w:tc>
          <w:tcPr>
            <w:tcW w:type="dxa" w:w="2400"/>
            <w:vAlign w:val="center"/>
          </w:tcPr>
          <w:p>
            <w:pPr>
              <w:spacing w:after="40"/>
            </w:pPr>
            <w:r>
              <w:rPr>
                <w:sz w:val="18"/>
              </w:rPr>
              <w:t>0.14345</w:t>
            </w:r>
          </w:p>
        </w:tc>
        <w:tc>
          <w:tcPr>
            <w:tcW w:type="dxa" w:w="1800"/>
            <w:vAlign w:val="center"/>
          </w:tcPr>
          <w:p>
            <w:pPr>
              <w:spacing w:after="40"/>
            </w:pPr>
            <w:r>
              <w:rPr>
                <w:sz w:val="18"/>
              </w:rPr>
              <w:t>0.50942</w:t>
            </w:r>
          </w:p>
        </w:tc>
      </w:tr>
      <w:tr>
        <w:tc>
          <w:tcPr>
            <w:tcW w:type="dxa" w:w="2700"/>
            <w:vAlign w:val="center"/>
          </w:tcPr>
          <w:p>
            <w:pPr>
              <w:spacing w:after="40"/>
            </w:pPr>
            <w:r>
              <w:rPr>
                <w:sz w:val="18"/>
              </w:rPr>
              <w:t>Shared suffix</w:t>
            </w:r>
          </w:p>
        </w:tc>
        <w:tc>
          <w:tcPr>
            <w:tcW w:type="dxa" w:w="1900"/>
            <w:vAlign w:val="center"/>
          </w:tcPr>
          <w:p>
            <w:pPr>
              <w:spacing w:after="40"/>
            </w:pPr>
            <w:r>
              <w:rPr>
                <w:sz w:val="18"/>
              </w:rPr>
              <w:t>0.20261</w:t>
            </w:r>
          </w:p>
        </w:tc>
        <w:tc>
          <w:tcPr>
            <w:tcW w:type="dxa" w:w="2400"/>
            <w:vAlign w:val="center"/>
          </w:tcPr>
          <w:p>
            <w:pPr>
              <w:spacing w:after="40"/>
            </w:pPr>
            <w:r>
              <w:rPr>
                <w:sz w:val="18"/>
              </w:rPr>
              <w:t>0.19926</w:t>
            </w:r>
          </w:p>
        </w:tc>
        <w:tc>
          <w:tcPr>
            <w:tcW w:type="dxa" w:w="1800"/>
            <w:vAlign w:val="center"/>
          </w:tcPr>
          <w:p>
            <w:pPr>
              <w:spacing w:after="40"/>
            </w:pPr>
            <w:r>
              <w:rPr>
                <w:sz w:val="18"/>
              </w:rPr>
              <w:t>0.40343</w:t>
            </w:r>
          </w:p>
        </w:tc>
      </w:tr>
      <w:tr>
        <w:tc>
          <w:tcPr>
            <w:tcW w:type="dxa" w:w="2700"/>
            <w:vAlign w:val="center"/>
          </w:tcPr>
          <w:p>
            <w:pPr>
              <w:spacing w:after="40"/>
            </w:pPr>
            <w:r>
              <w:rPr>
                <w:sz w:val="18"/>
              </w:rPr>
              <w:t>Shared edge state</w:t>
            </w:r>
          </w:p>
        </w:tc>
        <w:tc>
          <w:tcPr>
            <w:tcW w:type="dxa" w:w="1900"/>
            <w:vAlign w:val="center"/>
          </w:tcPr>
          <w:p>
            <w:pPr>
              <w:spacing w:after="40"/>
            </w:pPr>
            <w:r>
              <w:rPr>
                <w:sz w:val="18"/>
              </w:rPr>
              <w:t>0.08333</w:t>
            </w:r>
          </w:p>
        </w:tc>
        <w:tc>
          <w:tcPr>
            <w:tcW w:type="dxa" w:w="2400"/>
            <w:vAlign w:val="center"/>
          </w:tcPr>
          <w:p>
            <w:pPr>
              <w:spacing w:after="40"/>
            </w:pPr>
            <w:r>
              <w:rPr>
                <w:sz w:val="18"/>
              </w:rPr>
              <w:t>0.08514</w:t>
            </w:r>
          </w:p>
        </w:tc>
        <w:tc>
          <w:tcPr>
            <w:tcW w:type="dxa" w:w="1800"/>
            <w:vAlign w:val="center"/>
          </w:tcPr>
          <w:p>
            <w:pPr>
              <w:spacing w:after="40"/>
            </w:pPr>
            <w:r>
              <w:rPr>
                <w:sz w:val="18"/>
              </w:rPr>
              <w:t>0.60322</w:t>
            </w:r>
          </w:p>
        </w:tc>
      </w:tr>
    </w:tbl>
    <w:p>
      <w:r>
        <w:t>The outward and return ledgers did not agree more strongly than permuted return ledgers. Reversing the declining sequence therefore did not create a statistically privileged cross-ledger correspondence.</w:t>
      </w:r>
    </w:p>
    <w:p>
      <w:pPr>
        <w:pStyle w:val="Heading2"/>
      </w:pPr>
      <w:r>
        <w:t>13.3 Semantic ordering</w:t>
      </w:r>
    </w:p>
    <w:tbl>
      <w:tblPr>
        <w:tblStyle w:val="TableGrid"/>
        <w:tblW w:type="dxa" w:w="8800"/>
        <w:jc w:val="center"/>
        <w:tblLayout w:type="fixed"/>
        <w:tblLook w:firstColumn="1" w:firstRow="1" w:lastColumn="0" w:lastRow="0" w:noHBand="0" w:noVBand="1" w:val="04A0"/>
      </w:tblPr>
      <w:tblGrid>
        <w:gridCol w:w="4300"/>
        <w:gridCol w:w="2250"/>
        <w:gridCol w:w="2250"/>
      </w:tblGrid>
      <w:tr>
        <w:tc>
          <w:tcPr>
            <w:tcW w:type="dxa" w:w="4300"/>
            <w:shd w:fill="E8EEF5"/>
          </w:tcPr>
          <w:p>
            <w:pPr>
              <w:keepNext/>
            </w:pPr>
            <w:r>
              <w:rPr>
                <w:b/>
                <w:sz w:val="18"/>
              </w:rPr>
              <w:t>Ordering</w:t>
            </w:r>
          </w:p>
        </w:tc>
        <w:tc>
          <w:tcPr>
            <w:tcW w:type="dxa" w:w="2250"/>
            <w:shd w:fill="E8EEF5"/>
          </w:tcPr>
          <w:p>
            <w:pPr>
              <w:keepNext/>
            </w:pPr>
            <w:r>
              <w:rPr>
                <w:b/>
                <w:sz w:val="18"/>
              </w:rPr>
              <w:t>Training</w:t>
            </w:r>
          </w:p>
        </w:tc>
        <w:tc>
          <w:tcPr>
            <w:tcW w:type="dxa" w:w="2250"/>
            <w:shd w:fill="E8EEF5"/>
          </w:tcPr>
          <w:p>
            <w:pPr>
              <w:keepNext/>
            </w:pPr>
            <w:r>
              <w:rPr>
                <w:b/>
                <w:sz w:val="18"/>
              </w:rPr>
              <w:t>Held-out</w:t>
            </w:r>
          </w:p>
        </w:tc>
      </w:tr>
      <w:tr>
        <w:tc>
          <w:tcPr>
            <w:tcW w:type="dxa" w:w="4300"/>
            <w:vAlign w:val="center"/>
          </w:tcPr>
          <w:p>
            <w:pPr>
              <w:keepLines/>
              <w:spacing w:after="40"/>
            </w:pPr>
            <w:r>
              <w:rPr>
                <w:sz w:val="18"/>
              </w:rPr>
              <w:t>Outward/return interleaved</w:t>
            </w:r>
          </w:p>
        </w:tc>
        <w:tc>
          <w:tcPr>
            <w:tcW w:type="dxa" w:w="2250"/>
            <w:vAlign w:val="center"/>
          </w:tcPr>
          <w:p>
            <w:pPr>
              <w:keepLines/>
              <w:spacing w:after="40"/>
            </w:pPr>
            <w:r>
              <w:rPr>
                <w:sz w:val="18"/>
              </w:rPr>
              <w:t>−5.1728</w:t>
            </w:r>
          </w:p>
        </w:tc>
        <w:tc>
          <w:tcPr>
            <w:tcW w:type="dxa" w:w="2250"/>
            <w:vAlign w:val="center"/>
          </w:tcPr>
          <w:p>
            <w:pPr>
              <w:keepLines/>
              <w:spacing w:after="40"/>
            </w:pPr>
            <w:r>
              <w:rPr>
                <w:sz w:val="18"/>
              </w:rPr>
              <w:t>−5.3153</w:t>
            </w:r>
          </w:p>
        </w:tc>
      </w:tr>
      <w:tr>
        <w:tc>
          <w:tcPr>
            <w:tcW w:type="dxa" w:w="4300"/>
            <w:vAlign w:val="center"/>
          </w:tcPr>
          <w:p>
            <w:pPr>
              <w:spacing w:after="40"/>
            </w:pPr>
            <w:r>
              <w:rPr>
                <w:sz w:val="18"/>
              </w:rPr>
              <w:t>Outward then return</w:t>
            </w:r>
          </w:p>
        </w:tc>
        <w:tc>
          <w:tcPr>
            <w:tcW w:type="dxa" w:w="2250"/>
            <w:vAlign w:val="center"/>
          </w:tcPr>
          <w:p>
            <w:pPr>
              <w:spacing w:after="40"/>
            </w:pPr>
            <w:r>
              <w:rPr>
                <w:sz w:val="18"/>
              </w:rPr>
              <w:t>−5.4531</w:t>
            </w:r>
          </w:p>
        </w:tc>
        <w:tc>
          <w:tcPr>
            <w:tcW w:type="dxa" w:w="2250"/>
            <w:vAlign w:val="center"/>
          </w:tcPr>
          <w:p>
            <w:pPr>
              <w:spacing w:after="40"/>
            </w:pPr>
            <w:r>
              <w:rPr>
                <w:sz w:val="18"/>
              </w:rPr>
              <w:t>−5.5976</w:t>
            </w:r>
          </w:p>
        </w:tc>
      </w:tr>
      <w:tr>
        <w:tc>
          <w:tcPr>
            <w:tcW w:type="dxa" w:w="4300"/>
            <w:vAlign w:val="center"/>
          </w:tcPr>
          <w:p>
            <w:pPr>
              <w:spacing w:after="40"/>
            </w:pPr>
            <w:r>
              <w:rPr>
                <w:sz w:val="18"/>
              </w:rPr>
              <w:t>Return then outward</w:t>
            </w:r>
          </w:p>
        </w:tc>
        <w:tc>
          <w:tcPr>
            <w:tcW w:type="dxa" w:w="2250"/>
            <w:vAlign w:val="center"/>
          </w:tcPr>
          <w:p>
            <w:pPr>
              <w:spacing w:after="40"/>
            </w:pPr>
            <w:r>
              <w:rPr>
                <w:sz w:val="18"/>
              </w:rPr>
              <w:t>−5.5162</w:t>
            </w:r>
          </w:p>
        </w:tc>
        <w:tc>
          <w:tcPr>
            <w:tcW w:type="dxa" w:w="2250"/>
            <w:vAlign w:val="center"/>
          </w:tcPr>
          <w:p>
            <w:pPr>
              <w:spacing w:after="40"/>
            </w:pPr>
            <w:r>
              <w:rPr>
                <w:sz w:val="18"/>
              </w:rPr>
              <w:t>−5.7873</w:t>
            </w:r>
          </w:p>
        </w:tc>
      </w:tr>
      <w:tr>
        <w:tc>
          <w:tcPr>
            <w:tcW w:type="dxa" w:w="4300"/>
            <w:vAlign w:val="center"/>
          </w:tcPr>
          <w:p>
            <w:pPr>
              <w:spacing w:after="40"/>
            </w:pPr>
            <w:r>
              <w:rPr>
                <w:sz w:val="18"/>
              </w:rPr>
              <w:t>Natural English reference</w:t>
            </w:r>
          </w:p>
        </w:tc>
        <w:tc>
          <w:tcPr>
            <w:tcW w:type="dxa" w:w="2250"/>
            <w:vAlign w:val="center"/>
          </w:tcPr>
          <w:p>
            <w:pPr>
              <w:spacing w:after="40"/>
            </w:pPr>
            <w:r>
              <w:rPr>
                <w:sz w:val="18"/>
              </w:rPr>
              <w:t>≈−3.5532</w:t>
            </w:r>
          </w:p>
        </w:tc>
        <w:tc>
          <w:tcPr>
            <w:tcW w:type="dxa" w:w="2250"/>
            <w:vAlign w:val="center"/>
          </w:tcPr>
          <w:p>
            <w:pPr>
              <w:spacing w:after="40"/>
            </w:pPr>
            <w:r>
              <w:rPr>
                <w:sz w:val="18"/>
              </w:rPr>
              <w:t>≈−3.5532</w:t>
            </w:r>
          </w:p>
        </w:tc>
      </w:tr>
    </w:tbl>
    <w:p>
      <w:r>
        <w:t>Interleaving was the strongest of the three cross-ledger orders, but its held-out score did not improve on the earlier reverse-only B-stream result (approximately −5.22) and remained far from natural English.</w:t>
      </w:r>
    </w:p>
    <w:p>
      <w:pPr>
        <w:pStyle w:val="Heading1"/>
      </w:pPr>
      <w:r>
        <w:t>14. Focused care/caring Audit</w:t>
      </w:r>
    </w:p>
    <w:p>
      <w:pPr>
        <w:pStyle w:val="Heading2"/>
      </w:pPr>
      <w:r>
        <w:t>14.1 Exact trace</w:t>
      </w:r>
    </w:p>
    <w:p>
      <w:r>
        <w:t>The interleaved output contained the real word “caring.” Replaying the frozen monoalphabetic mapping showed an exact, reversible token-level derivation rather than a display accident:</w:t>
      </w:r>
    </w:p>
    <w:tbl>
      <w:tblPr>
        <w:tblStyle w:val="TableGrid"/>
        <w:tblW w:type="dxa" w:w="8800"/>
        <w:jc w:val="center"/>
        <w:tblLayout w:type="fixed"/>
        <w:tblLook w:firstColumn="1" w:firstRow="1" w:lastColumn="0" w:lastRow="0" w:noHBand="0" w:noVBand="1" w:val="04A0"/>
      </w:tblPr>
      <w:tblGrid>
        <w:gridCol w:w="1700"/>
        <w:gridCol w:w="4300"/>
        <w:gridCol w:w="1500"/>
        <w:gridCol w:w="1300"/>
      </w:tblGrid>
      <w:tr>
        <w:tc>
          <w:tcPr>
            <w:tcW w:type="dxa" w:w="1700"/>
            <w:shd w:fill="E8EEF5"/>
          </w:tcPr>
          <w:p>
            <w:pPr>
              <w:keepNext/>
            </w:pPr>
            <w:r>
              <w:rPr>
                <w:b/>
                <w:sz w:val="18"/>
              </w:rPr>
              <w:t>EVA source</w:t>
            </w:r>
          </w:p>
        </w:tc>
        <w:tc>
          <w:tcPr>
            <w:tcW w:type="dxa" w:w="4300"/>
            <w:shd w:fill="E8EEF5"/>
          </w:tcPr>
          <w:p>
            <w:pPr>
              <w:keepNext/>
            </w:pPr>
            <w:r>
              <w:rPr>
                <w:b/>
                <w:sz w:val="18"/>
              </w:rPr>
              <w:t>Frozen character trace</w:t>
            </w:r>
          </w:p>
        </w:tc>
        <w:tc>
          <w:tcPr>
            <w:tcW w:type="dxa" w:w="1500"/>
            <w:shd w:fill="E8EEF5"/>
          </w:tcPr>
          <w:p>
            <w:pPr>
              <w:keepNext/>
            </w:pPr>
            <w:r>
              <w:rPr>
                <w:b/>
                <w:sz w:val="18"/>
              </w:rPr>
              <w:t>Output</w:t>
            </w:r>
          </w:p>
        </w:tc>
        <w:tc>
          <w:tcPr>
            <w:tcW w:type="dxa" w:w="1300"/>
            <w:shd w:fill="E8EEF5"/>
          </w:tcPr>
          <w:p>
            <w:pPr>
              <w:keepNext/>
            </w:pPr>
            <w:r>
              <w:rPr>
                <w:b/>
                <w:sz w:val="18"/>
              </w:rPr>
              <w:t>Corpus count</w:t>
            </w:r>
          </w:p>
        </w:tc>
      </w:tr>
      <w:tr>
        <w:tc>
          <w:tcPr>
            <w:tcW w:type="dxa" w:w="1700"/>
            <w:vAlign w:val="center"/>
          </w:tcPr>
          <w:p>
            <w:pPr>
              <w:keepLines/>
              <w:spacing w:after="40"/>
            </w:pPr>
            <w:r>
              <w:rPr>
                <w:sz w:val="18"/>
              </w:rPr>
              <w:t>qoky</w:t>
            </w:r>
          </w:p>
        </w:tc>
        <w:tc>
          <w:tcPr>
            <w:tcW w:type="dxa" w:w="4300"/>
            <w:vAlign w:val="center"/>
          </w:tcPr>
          <w:p>
            <w:pPr>
              <w:keepLines/>
              <w:spacing w:after="40"/>
            </w:pPr>
            <w:r>
              <w:rPr>
                <w:sz w:val="18"/>
              </w:rPr>
              <w:t>q→c · o→a · k→r · y→e</w:t>
            </w:r>
          </w:p>
        </w:tc>
        <w:tc>
          <w:tcPr>
            <w:tcW w:type="dxa" w:w="1500"/>
            <w:vAlign w:val="center"/>
          </w:tcPr>
          <w:p>
            <w:pPr>
              <w:keepLines/>
              <w:spacing w:after="40"/>
            </w:pPr>
            <w:r>
              <w:rPr>
                <w:sz w:val="18"/>
              </w:rPr>
              <w:t>care</w:t>
            </w:r>
          </w:p>
        </w:tc>
        <w:tc>
          <w:tcPr>
            <w:tcW w:type="dxa" w:w="1300"/>
            <w:vAlign w:val="center"/>
          </w:tcPr>
          <w:p>
            <w:pPr>
              <w:keepLines/>
              <w:spacing w:after="40"/>
            </w:pPr>
            <w:r>
              <w:rPr>
                <w:sz w:val="18"/>
              </w:rPr>
              <w:t>144</w:t>
            </w:r>
          </w:p>
        </w:tc>
      </w:tr>
      <w:tr>
        <w:tc>
          <w:tcPr>
            <w:tcW w:type="dxa" w:w="1700"/>
            <w:vAlign w:val="center"/>
          </w:tcPr>
          <w:p>
            <w:pPr>
              <w:spacing w:after="40"/>
            </w:pPr>
            <w:r>
              <w:rPr>
                <w:sz w:val="18"/>
              </w:rPr>
              <w:t>qokain</w:t>
            </w:r>
          </w:p>
        </w:tc>
        <w:tc>
          <w:tcPr>
            <w:tcW w:type="dxa" w:w="4300"/>
            <w:vAlign w:val="center"/>
          </w:tcPr>
          <w:p>
            <w:pPr>
              <w:spacing w:after="40"/>
            </w:pPr>
            <w:r>
              <w:rPr>
                <w:sz w:val="18"/>
              </w:rPr>
              <w:t>q→c · o→a · k→r · a→i · i→n · n→g</w:t>
            </w:r>
          </w:p>
        </w:tc>
        <w:tc>
          <w:tcPr>
            <w:tcW w:type="dxa" w:w="1500"/>
            <w:vAlign w:val="center"/>
          </w:tcPr>
          <w:p>
            <w:pPr>
              <w:spacing w:after="40"/>
            </w:pPr>
            <w:r>
              <w:rPr>
                <w:sz w:val="18"/>
              </w:rPr>
              <w:t>caring</w:t>
            </w:r>
          </w:p>
        </w:tc>
        <w:tc>
          <w:tcPr>
            <w:tcW w:type="dxa" w:w="1300"/>
            <w:vAlign w:val="center"/>
          </w:tcPr>
          <w:p>
            <w:pPr>
              <w:spacing w:after="40"/>
            </w:pPr>
            <w:r>
              <w:rPr>
                <w:sz w:val="18"/>
              </w:rPr>
              <w:t>277</w:t>
            </w:r>
          </w:p>
        </w:tc>
      </w:tr>
    </w:tbl>
    <w:p>
      <w:r>
        <w:t>Within the 1,224-token cross-ledger sample, qokain→caring occurred 34 times—22 in the fitting half and 12 in the held-out half—and qoky→care occurred 20 times. The mapping therefore survives the train/held-out boundary. Globally, the pair is common enough to be a systematic consequence of the substitution.</w:t>
      </w:r>
    </w:p>
    <w:p>
      <w:pPr>
        <w:pStyle w:val="Heading2"/>
      </w:pPr>
      <w:r>
        <w:t>14.2 Frozen-mapping lexical audit</w:t>
      </w:r>
    </w:p>
    <w:p>
      <w:r>
        <w:t>The mapping was then applied unchanged to a complete 39,313-token EVA normalization. A broad English frequency list was frozen at Zipf frequency ≥3.5 and word length ≥3 before scoring. This avoids deciding after inspection which outputs count as words.</w:t>
      </w:r>
    </w:p>
    <w:tbl>
      <w:tblPr>
        <w:tblStyle w:val="TableGrid"/>
        <w:tblW w:type="dxa" w:w="8800"/>
        <w:jc w:val="center"/>
        <w:tblLayout w:type="fixed"/>
        <w:tblLook w:firstColumn="1" w:firstRow="1" w:lastColumn="0" w:lastRow="0" w:noHBand="0" w:noVBand="1" w:val="04A0"/>
      </w:tblPr>
      <w:tblGrid>
        <w:gridCol w:w="3000"/>
        <w:gridCol w:w="1900"/>
        <w:gridCol w:w="2600"/>
        <w:gridCol w:w="1300"/>
      </w:tblGrid>
      <w:tr>
        <w:tc>
          <w:tcPr>
            <w:tcW w:type="dxa" w:w="3000"/>
            <w:shd w:fill="E8EEF5"/>
          </w:tcPr>
          <w:p>
            <w:pPr>
              <w:keepNext/>
            </w:pPr>
            <w:r>
              <w:rPr>
                <w:b/>
                <w:sz w:val="18"/>
              </w:rPr>
              <w:t>Measure</w:t>
            </w:r>
          </w:p>
        </w:tc>
        <w:tc>
          <w:tcPr>
            <w:tcW w:type="dxa" w:w="1900"/>
            <w:shd w:fill="E8EEF5"/>
          </w:tcPr>
          <w:p>
            <w:pPr>
              <w:keepNext/>
            </w:pPr>
            <w:r>
              <w:rPr>
                <w:b/>
                <w:sz w:val="18"/>
              </w:rPr>
              <w:t>Frozen mapping</w:t>
            </w:r>
          </w:p>
        </w:tc>
        <w:tc>
          <w:tcPr>
            <w:tcW w:type="dxa" w:w="2600"/>
            <w:shd w:fill="E8EEF5"/>
          </w:tcPr>
          <w:p>
            <w:pPr>
              <w:keepNext/>
            </w:pPr>
            <w:r>
              <w:rPr>
                <w:b/>
                <w:sz w:val="18"/>
              </w:rPr>
              <w:t>5,000 random bijections</w:t>
            </w:r>
          </w:p>
        </w:tc>
        <w:tc>
          <w:tcPr>
            <w:tcW w:type="dxa" w:w="1300"/>
            <w:shd w:fill="E8EEF5"/>
          </w:tcPr>
          <w:p>
            <w:pPr>
              <w:keepNext/>
            </w:pPr>
            <w:r>
              <w:rPr>
                <w:b/>
                <w:sz w:val="18"/>
              </w:rPr>
              <w:t>Empirical result</w:t>
            </w:r>
          </w:p>
        </w:tc>
      </w:tr>
      <w:tr>
        <w:tc>
          <w:tcPr>
            <w:tcW w:type="dxa" w:w="3000"/>
            <w:vAlign w:val="center"/>
          </w:tcPr>
          <w:p>
            <w:pPr>
              <w:keepLines/>
              <w:spacing w:after="40"/>
            </w:pPr>
            <w:r>
              <w:rPr>
                <w:sz w:val="18"/>
              </w:rPr>
              <w:t>Common-English token hits</w:t>
            </w:r>
          </w:p>
        </w:tc>
        <w:tc>
          <w:tcPr>
            <w:tcW w:type="dxa" w:w="1900"/>
            <w:vAlign w:val="center"/>
          </w:tcPr>
          <w:p>
            <w:pPr>
              <w:keepLines/>
              <w:spacing w:after="40"/>
            </w:pPr>
            <w:r>
              <w:rPr>
                <w:sz w:val="18"/>
              </w:rPr>
              <w:t>3,531</w:t>
            </w:r>
          </w:p>
        </w:tc>
        <w:tc>
          <w:tcPr>
            <w:tcW w:type="dxa" w:w="2600"/>
            <w:vAlign w:val="center"/>
          </w:tcPr>
          <w:p>
            <w:pPr>
              <w:keepLines/>
              <w:spacing w:after="40"/>
            </w:pPr>
            <w:r>
              <w:rPr>
                <w:sz w:val="18"/>
              </w:rPr>
              <w:t>Mean 275; 95th percentile 729</w:t>
            </w:r>
          </w:p>
        </w:tc>
        <w:tc>
          <w:tcPr>
            <w:tcW w:type="dxa" w:w="1300"/>
            <w:vAlign w:val="center"/>
          </w:tcPr>
          <w:p>
            <w:pPr>
              <w:keepLines/>
              <w:spacing w:after="40"/>
            </w:pPr>
            <w:r>
              <w:rPr>
                <w:sz w:val="18"/>
              </w:rPr>
              <w:t>p≈0.00020</w:t>
            </w:r>
          </w:p>
        </w:tc>
      </w:tr>
      <w:tr>
        <w:tc>
          <w:tcPr>
            <w:tcW w:type="dxa" w:w="3000"/>
            <w:vAlign w:val="center"/>
          </w:tcPr>
          <w:p>
            <w:pPr>
              <w:spacing w:after="40"/>
            </w:pPr>
            <w:r>
              <w:rPr>
                <w:sz w:val="18"/>
              </w:rPr>
              <w:t>Common-English source types</w:t>
            </w:r>
          </w:p>
        </w:tc>
        <w:tc>
          <w:tcPr>
            <w:tcW w:type="dxa" w:w="1900"/>
            <w:vAlign w:val="center"/>
          </w:tcPr>
          <w:p>
            <w:pPr>
              <w:spacing w:after="40"/>
            </w:pPr>
            <w:r>
              <w:rPr>
                <w:sz w:val="18"/>
              </w:rPr>
              <w:t>119</w:t>
            </w:r>
          </w:p>
        </w:tc>
        <w:tc>
          <w:tcPr>
            <w:tcW w:type="dxa" w:w="2600"/>
            <w:vAlign w:val="center"/>
          </w:tcPr>
          <w:p>
            <w:pPr>
              <w:spacing w:after="40"/>
            </w:pPr>
            <w:r>
              <w:rPr>
                <w:sz w:val="18"/>
              </w:rPr>
              <w:t>Mean 21.5; 95th percentile 38</w:t>
            </w:r>
          </w:p>
        </w:tc>
        <w:tc>
          <w:tcPr>
            <w:tcW w:type="dxa" w:w="1300"/>
            <w:vAlign w:val="center"/>
          </w:tcPr>
          <w:p>
            <w:pPr>
              <w:spacing w:after="40"/>
            </w:pPr>
            <w:r>
              <w:rPr>
                <w:sz w:val="18"/>
              </w:rPr>
              <w:t>p≈0.00020</w:t>
            </w:r>
          </w:p>
        </w:tc>
      </w:tr>
      <w:tr>
        <w:tc>
          <w:tcPr>
            <w:tcW w:type="dxa" w:w="3000"/>
            <w:vAlign w:val="center"/>
          </w:tcPr>
          <w:p>
            <w:pPr>
              <w:spacing w:after="40"/>
            </w:pPr>
            <w:r>
              <w:rPr>
                <w:sz w:val="18"/>
              </w:rPr>
              <w:t>Simple morphological families</w:t>
            </w:r>
          </w:p>
        </w:tc>
        <w:tc>
          <w:tcPr>
            <w:tcW w:type="dxa" w:w="1900"/>
            <w:vAlign w:val="center"/>
          </w:tcPr>
          <w:p>
            <w:pPr>
              <w:spacing w:after="40"/>
            </w:pPr>
            <w:r>
              <w:rPr>
                <w:sz w:val="18"/>
              </w:rPr>
              <w:t>4</w:t>
            </w:r>
          </w:p>
        </w:tc>
        <w:tc>
          <w:tcPr>
            <w:tcW w:type="dxa" w:w="2600"/>
            <w:vAlign w:val="center"/>
          </w:tcPr>
          <w:p>
            <w:pPr>
              <w:spacing w:after="40"/>
            </w:pPr>
            <w:r>
              <w:rPr>
                <w:sz w:val="18"/>
              </w:rPr>
              <w:t>Mean 0.38; 95th percentile 2</w:t>
            </w:r>
          </w:p>
        </w:tc>
        <w:tc>
          <w:tcPr>
            <w:tcW w:type="dxa" w:w="1300"/>
            <w:vAlign w:val="center"/>
          </w:tcPr>
          <w:p>
            <w:pPr>
              <w:spacing w:after="40"/>
            </w:pPr>
            <w:r>
              <w:rPr>
                <w:sz w:val="18"/>
              </w:rPr>
              <w:t>p≈0.0100</w:t>
            </w:r>
          </w:p>
        </w:tc>
      </w:tr>
    </w:tbl>
    <w:p>
      <w:r>
        <w:t>The frozen map is therefore highly non-random relative to arbitrary letter permutations. Besides care/caring it generated bore/boring, car/caring, and car/cars. It also generated many isolated English-looking forms—such as are, ring, boss, hide, amid, and dad—without producing sustained English syntax.</w:t>
      </w:r>
    </w:p>
    <w:p>
      <w:pPr>
        <w:pStyle w:val="Heading2"/>
      </w:pPr>
      <w:r>
        <w:t>14.3 Equally optimized shuffled-order controls</w:t>
      </w:r>
    </w:p>
    <w:p>
      <w:r>
        <w:t>Random mappings are an incomplete control because the tested mapping was selected by an English language objective. A second audit therefore shuffled token order while preserving the same token inventory and refit 30 mappings with the same optimizer budget (three restarts, 600 iterations, 300 training tokens).</w:t>
      </w:r>
    </w:p>
    <w:tbl>
      <w:tblPr>
        <w:tblStyle w:val="TableGrid"/>
        <w:tblW w:type="dxa" w:w="9000"/>
        <w:jc w:val="center"/>
        <w:tblLayout w:type="fixed"/>
        <w:tblLook w:firstColumn="1" w:firstRow="1" w:lastColumn="0" w:lastRow="0" w:noHBand="0" w:noVBand="1" w:val="04A0"/>
      </w:tblPr>
      <w:tblGrid>
        <w:gridCol w:w="3000"/>
        <w:gridCol w:w="1900"/>
        <w:gridCol w:w="3000"/>
        <w:gridCol w:w="1100"/>
      </w:tblGrid>
      <w:tr>
        <w:tc>
          <w:tcPr>
            <w:tcW w:type="dxa" w:w="3000"/>
            <w:shd w:fill="E8EEF5"/>
          </w:tcPr>
          <w:p>
            <w:pPr>
              <w:keepNext/>
            </w:pPr>
            <w:r>
              <w:rPr>
                <w:b/>
                <w:sz w:val="18"/>
              </w:rPr>
              <w:t>Measure</w:t>
            </w:r>
          </w:p>
        </w:tc>
        <w:tc>
          <w:tcPr>
            <w:tcW w:type="dxa" w:w="1900"/>
            <w:shd w:fill="E8EEF5"/>
          </w:tcPr>
          <w:p>
            <w:pPr>
              <w:keepNext/>
            </w:pPr>
            <w:r>
              <w:rPr>
                <w:b/>
                <w:sz w:val="18"/>
              </w:rPr>
              <w:t>Frozen mapping</w:t>
            </w:r>
          </w:p>
        </w:tc>
        <w:tc>
          <w:tcPr>
            <w:tcW w:type="dxa" w:w="3000"/>
            <w:shd w:fill="E8EEF5"/>
          </w:tcPr>
          <w:p>
            <w:pPr>
              <w:keepNext/>
            </w:pPr>
            <w:r>
              <w:rPr>
                <w:b/>
                <w:sz w:val="18"/>
              </w:rPr>
              <w:t>Refitted shuffled controls</w:t>
            </w:r>
          </w:p>
        </w:tc>
        <w:tc>
          <w:tcPr>
            <w:tcW w:type="dxa" w:w="1100"/>
            <w:shd w:fill="E8EEF5"/>
          </w:tcPr>
          <w:p>
            <w:pPr>
              <w:keepNext/>
            </w:pPr>
            <w:r>
              <w:rPr>
                <w:b/>
                <w:sz w:val="18"/>
              </w:rPr>
              <w:t>Empirical p</w:t>
            </w:r>
          </w:p>
        </w:tc>
      </w:tr>
      <w:tr>
        <w:tc>
          <w:tcPr>
            <w:tcW w:type="dxa" w:w="3000"/>
            <w:vAlign w:val="center"/>
          </w:tcPr>
          <w:p>
            <w:pPr>
              <w:keepLines/>
              <w:spacing w:after="40"/>
            </w:pPr>
            <w:r>
              <w:rPr>
                <w:sz w:val="18"/>
              </w:rPr>
              <w:t>Character four-gram score</w:t>
            </w:r>
          </w:p>
        </w:tc>
        <w:tc>
          <w:tcPr>
            <w:tcW w:type="dxa" w:w="1900"/>
            <w:vAlign w:val="center"/>
          </w:tcPr>
          <w:p>
            <w:pPr>
              <w:keepLines/>
              <w:spacing w:after="40"/>
            </w:pPr>
            <w:r>
              <w:rPr>
                <w:sz w:val="18"/>
              </w:rPr>
              <w:t>−5.8321</w:t>
            </w:r>
          </w:p>
        </w:tc>
        <w:tc>
          <w:tcPr>
            <w:tcW w:type="dxa" w:w="3000"/>
            <w:vAlign w:val="center"/>
          </w:tcPr>
          <w:p>
            <w:pPr>
              <w:keepLines/>
              <w:spacing w:after="40"/>
            </w:pPr>
            <w:r>
              <w:rPr>
                <w:sz w:val="18"/>
              </w:rPr>
              <w:t>Mean −5.7430; range −5.9970 to −5.5062</w:t>
            </w:r>
          </w:p>
        </w:tc>
        <w:tc>
          <w:tcPr>
            <w:tcW w:type="dxa" w:w="1100"/>
            <w:vAlign w:val="center"/>
          </w:tcPr>
          <w:p>
            <w:pPr>
              <w:keepLines/>
              <w:spacing w:after="40"/>
            </w:pPr>
            <w:r>
              <w:rPr>
                <w:sz w:val="18"/>
              </w:rPr>
              <w:t>0.7097</w:t>
            </w:r>
          </w:p>
        </w:tc>
      </w:tr>
      <w:tr>
        <w:tc>
          <w:tcPr>
            <w:tcW w:type="dxa" w:w="3000"/>
            <w:vAlign w:val="center"/>
          </w:tcPr>
          <w:p>
            <w:pPr>
              <w:spacing w:after="40"/>
            </w:pPr>
            <w:r>
              <w:rPr>
                <w:sz w:val="18"/>
              </w:rPr>
              <w:t>Common-English token hits</w:t>
            </w:r>
          </w:p>
        </w:tc>
        <w:tc>
          <w:tcPr>
            <w:tcW w:type="dxa" w:w="1900"/>
            <w:vAlign w:val="center"/>
          </w:tcPr>
          <w:p>
            <w:pPr>
              <w:spacing w:after="40"/>
            </w:pPr>
            <w:r>
              <w:rPr>
                <w:sz w:val="18"/>
              </w:rPr>
              <w:t>3,530</w:t>
            </w:r>
          </w:p>
        </w:tc>
        <w:tc>
          <w:tcPr>
            <w:tcW w:type="dxa" w:w="3000"/>
            <w:vAlign w:val="center"/>
          </w:tcPr>
          <w:p>
            <w:pPr>
              <w:spacing w:after="40"/>
            </w:pPr>
            <w:r>
              <w:rPr>
                <w:sz w:val="18"/>
              </w:rPr>
              <w:t>Mean 1,986.8; maximum 3,304</w:t>
            </w:r>
          </w:p>
        </w:tc>
        <w:tc>
          <w:tcPr>
            <w:tcW w:type="dxa" w:w="1100"/>
            <w:vAlign w:val="center"/>
          </w:tcPr>
          <w:p>
            <w:pPr>
              <w:spacing w:after="40"/>
            </w:pPr>
            <w:r>
              <w:rPr>
                <w:sz w:val="18"/>
              </w:rPr>
              <w:t>0.0323</w:t>
            </w:r>
          </w:p>
        </w:tc>
      </w:tr>
      <w:tr>
        <w:tc>
          <w:tcPr>
            <w:tcW w:type="dxa" w:w="3000"/>
            <w:vAlign w:val="center"/>
          </w:tcPr>
          <w:p>
            <w:pPr>
              <w:spacing w:after="40"/>
            </w:pPr>
            <w:r>
              <w:rPr>
                <w:sz w:val="18"/>
              </w:rPr>
              <w:t>Common-English word types</w:t>
            </w:r>
          </w:p>
        </w:tc>
        <w:tc>
          <w:tcPr>
            <w:tcW w:type="dxa" w:w="1900"/>
            <w:vAlign w:val="center"/>
          </w:tcPr>
          <w:p>
            <w:pPr>
              <w:spacing w:after="40"/>
            </w:pPr>
            <w:r>
              <w:rPr>
                <w:sz w:val="18"/>
              </w:rPr>
              <w:t>118</w:t>
            </w:r>
          </w:p>
        </w:tc>
        <w:tc>
          <w:tcPr>
            <w:tcW w:type="dxa" w:w="3000"/>
            <w:vAlign w:val="center"/>
          </w:tcPr>
          <w:p>
            <w:pPr>
              <w:spacing w:after="40"/>
            </w:pPr>
            <w:r>
              <w:rPr>
                <w:sz w:val="18"/>
              </w:rPr>
              <w:t>Mean 75.3; maximum 107</w:t>
            </w:r>
          </w:p>
        </w:tc>
        <w:tc>
          <w:tcPr>
            <w:tcW w:type="dxa" w:w="1100"/>
            <w:vAlign w:val="center"/>
          </w:tcPr>
          <w:p>
            <w:pPr>
              <w:spacing w:after="40"/>
            </w:pPr>
            <w:r>
              <w:rPr>
                <w:sz w:val="18"/>
              </w:rPr>
              <w:t>0.0323</w:t>
            </w:r>
          </w:p>
        </w:tc>
      </w:tr>
      <w:tr>
        <w:tc>
          <w:tcPr>
            <w:tcW w:type="dxa" w:w="3000"/>
            <w:vAlign w:val="center"/>
          </w:tcPr>
          <w:p>
            <w:pPr>
              <w:spacing w:after="40"/>
            </w:pPr>
            <w:r>
              <w:rPr>
                <w:sz w:val="18"/>
              </w:rPr>
              <w:t>Morphological families</w:t>
            </w:r>
          </w:p>
        </w:tc>
        <w:tc>
          <w:tcPr>
            <w:tcW w:type="dxa" w:w="1900"/>
            <w:vAlign w:val="center"/>
          </w:tcPr>
          <w:p>
            <w:pPr>
              <w:spacing w:after="40"/>
            </w:pPr>
            <w:r>
              <w:rPr>
                <w:sz w:val="18"/>
              </w:rPr>
              <w:t>4</w:t>
            </w:r>
          </w:p>
        </w:tc>
        <w:tc>
          <w:tcPr>
            <w:tcW w:type="dxa" w:w="3000"/>
            <w:vAlign w:val="center"/>
          </w:tcPr>
          <w:p>
            <w:pPr>
              <w:spacing w:after="40"/>
            </w:pPr>
            <w:r>
              <w:rPr>
                <w:sz w:val="18"/>
              </w:rPr>
              <w:t>Mean 5.37; range 0–16</w:t>
            </w:r>
          </w:p>
        </w:tc>
        <w:tc>
          <w:tcPr>
            <w:tcW w:type="dxa" w:w="1100"/>
            <w:vAlign w:val="center"/>
          </w:tcPr>
          <w:p>
            <w:pPr>
              <w:spacing w:after="40"/>
            </w:pPr>
            <w:r>
              <w:rPr>
                <w:sz w:val="18"/>
              </w:rPr>
              <w:t>0.5806</w:t>
            </w:r>
          </w:p>
        </w:tc>
      </w:tr>
    </w:tbl>
    <w:p>
      <w:r>
        <w:t>Interpretation: care/caring is a noteworthy and exactly traceable family, and the frozen mapping produces more dictionary hits than these limited refitted controls. But word-family formation itself is not exceptional after equal optimization, and the fixed mapping is not superior on the objective used to discover it. The pair raises the mapping from “pure visual coincidence” to “candidate requiring broader tests”; it does not establish that care is the intended meaning of qoky or that the remaining text is English.</w:t>
      </w:r>
    </w:p>
    <w:p>
      <w:pPr>
        <w:pStyle w:val="Heading2"/>
        <w:pageBreakBefore/>
      </w:pPr>
      <w:r>
        <w:t>14.4 Blinded source-morphology test of -y / -ain</w:t>
      </w:r>
    </w:p>
    <w:p>
      <w:r>
        <w:t>A stronger test removed English meaning from the first stage. The question became whether Voynich source forms ending in -y and -ain behave like two productive forms of the same stems, and whether that relation predicts unseen folios. The first 113 pages were used for discovery and the remaining 114 pages were withheld. Comparable suffix pairs were selected by corpus frequency before their performance was examined.</w:t>
      </w:r>
    </w:p>
    <w:tbl>
      <w:tblPr>
        <w:tblStyle w:val="TableGrid"/>
        <w:tblW w:type="dxa" w:w="8800"/>
        <w:jc w:val="center"/>
        <w:tblLayout w:type="fixed"/>
        <w:tblLook w:firstColumn="1" w:firstRow="1" w:lastColumn="0" w:lastRow="0" w:noHBand="0" w:noVBand="1" w:val="04A0"/>
      </w:tblPr>
      <w:tblGrid>
        <w:gridCol w:w="3100"/>
        <w:gridCol w:w="1700"/>
        <w:gridCol w:w="2900"/>
        <w:gridCol w:w="1100"/>
      </w:tblGrid>
      <w:tr>
        <w:tc>
          <w:tcPr>
            <w:tcW w:type="dxa" w:w="3100"/>
            <w:shd w:fill="E8EEF5"/>
          </w:tcPr>
          <w:p>
            <w:pPr>
              <w:keepNext/>
            </w:pPr>
            <w:r>
              <w:rPr>
                <w:b/>
                <w:sz w:val="18"/>
              </w:rPr>
              <w:t>Source-morphology measure</w:t>
            </w:r>
          </w:p>
        </w:tc>
        <w:tc>
          <w:tcPr>
            <w:tcW w:type="dxa" w:w="1700"/>
            <w:shd w:fill="E8EEF5"/>
          </w:tcPr>
          <w:p>
            <w:pPr>
              <w:keepNext/>
            </w:pPr>
            <w:r>
              <w:rPr>
                <w:b/>
                <w:sz w:val="18"/>
              </w:rPr>
              <w:t>-y / -ain result</w:t>
            </w:r>
          </w:p>
        </w:tc>
        <w:tc>
          <w:tcPr>
            <w:tcW w:type="dxa" w:w="2900"/>
            <w:shd w:fill="E8EEF5"/>
          </w:tcPr>
          <w:p>
            <w:pPr>
              <w:keepNext/>
            </w:pPr>
            <w:r>
              <w:rPr>
                <w:b/>
                <w:sz w:val="18"/>
              </w:rPr>
              <w:t>197 frequency-matched suffix pairs</w:t>
            </w:r>
          </w:p>
        </w:tc>
        <w:tc>
          <w:tcPr>
            <w:tcW w:type="dxa" w:w="1100"/>
            <w:shd w:fill="E8EEF5"/>
          </w:tcPr>
          <w:p>
            <w:pPr>
              <w:keepNext/>
            </w:pPr>
            <w:r>
              <w:rPr>
                <w:b/>
                <w:sz w:val="18"/>
              </w:rPr>
              <w:t>Empirical p</w:t>
            </w:r>
          </w:p>
        </w:tc>
      </w:tr>
      <w:tr>
        <w:tc>
          <w:tcPr>
            <w:tcW w:type="dxa" w:w="3100"/>
            <w:vAlign w:val="center"/>
          </w:tcPr>
          <w:p>
            <w:pPr>
              <w:keepLines/>
              <w:spacing w:after="40"/>
            </w:pPr>
            <w:r>
              <w:rPr>
                <w:sz w:val="18"/>
              </w:rPr>
              <w:t>Shared stem types</w:t>
            </w:r>
          </w:p>
        </w:tc>
        <w:tc>
          <w:tcPr>
            <w:tcW w:type="dxa" w:w="1700"/>
            <w:vAlign w:val="center"/>
          </w:tcPr>
          <w:p>
            <w:pPr>
              <w:keepLines/>
              <w:spacing w:after="40"/>
            </w:pPr>
            <w:r>
              <w:rPr>
                <w:sz w:val="18"/>
              </w:rPr>
              <w:t>192</w:t>
            </w:r>
          </w:p>
        </w:tc>
        <w:tc>
          <w:tcPr>
            <w:tcW w:type="dxa" w:w="2900"/>
            <w:vAlign w:val="center"/>
          </w:tcPr>
          <w:p>
            <w:pPr>
              <w:keepLines/>
              <w:spacing w:after="40"/>
            </w:pPr>
            <w:r>
              <w:rPr>
                <w:sz w:val="18"/>
              </w:rPr>
              <w:t>Mean 54.1; maximum 343</w:t>
            </w:r>
          </w:p>
        </w:tc>
        <w:tc>
          <w:tcPr>
            <w:tcW w:type="dxa" w:w="1100"/>
            <w:vAlign w:val="center"/>
          </w:tcPr>
          <w:p>
            <w:pPr>
              <w:keepLines/>
              <w:spacing w:after="40"/>
            </w:pPr>
            <w:r>
              <w:rPr>
                <w:sz w:val="18"/>
              </w:rPr>
              <w:t>0.0960</w:t>
            </w:r>
          </w:p>
        </w:tc>
      </w:tr>
      <w:tr>
        <w:tc>
          <w:tcPr>
            <w:tcW w:type="dxa" w:w="3100"/>
            <w:vAlign w:val="center"/>
          </w:tcPr>
          <w:p>
            <w:pPr>
              <w:spacing w:after="40"/>
            </w:pPr>
            <w:r>
              <w:rPr>
                <w:sz w:val="18"/>
              </w:rPr>
              <w:t>Weighted shared occurrences</w:t>
            </w:r>
          </w:p>
        </w:tc>
        <w:tc>
          <w:tcPr>
            <w:tcW w:type="dxa" w:w="1700"/>
            <w:vAlign w:val="center"/>
          </w:tcPr>
          <w:p>
            <w:pPr>
              <w:spacing w:after="40"/>
            </w:pPr>
            <w:r>
              <w:rPr>
                <w:sz w:val="18"/>
              </w:rPr>
              <w:t>1,208</w:t>
            </w:r>
          </w:p>
        </w:tc>
        <w:tc>
          <w:tcPr>
            <w:tcW w:type="dxa" w:w="2900"/>
            <w:vAlign w:val="center"/>
          </w:tcPr>
          <w:p>
            <w:pPr>
              <w:spacing w:after="40"/>
            </w:pPr>
            <w:r>
              <w:rPr>
                <w:sz w:val="18"/>
              </w:rPr>
              <w:t>Mean 271.2; maximum 2,469</w:t>
            </w:r>
          </w:p>
        </w:tc>
        <w:tc>
          <w:tcPr>
            <w:tcW w:type="dxa" w:w="1100"/>
            <w:vAlign w:val="center"/>
          </w:tcPr>
          <w:p>
            <w:pPr>
              <w:spacing w:after="40"/>
            </w:pPr>
            <w:r>
              <w:rPr>
                <w:sz w:val="18"/>
              </w:rPr>
              <w:t>0.0758</w:t>
            </w:r>
          </w:p>
        </w:tc>
      </w:tr>
      <w:tr>
        <w:tc>
          <w:tcPr>
            <w:tcW w:type="dxa" w:w="3100"/>
            <w:vAlign w:val="center"/>
          </w:tcPr>
          <w:p>
            <w:pPr>
              <w:spacing w:after="40"/>
            </w:pPr>
            <w:r>
              <w:rPr>
                <w:sz w:val="18"/>
              </w:rPr>
              <w:t>Stem-set Jaccard overlap</w:t>
            </w:r>
          </w:p>
        </w:tc>
        <w:tc>
          <w:tcPr>
            <w:tcW w:type="dxa" w:w="1700"/>
            <w:vAlign w:val="center"/>
          </w:tcPr>
          <w:p>
            <w:pPr>
              <w:spacing w:after="40"/>
            </w:pPr>
            <w:r>
              <w:rPr>
                <w:sz w:val="18"/>
              </w:rPr>
              <w:t>0.06391</w:t>
            </w:r>
          </w:p>
        </w:tc>
        <w:tc>
          <w:tcPr>
            <w:tcW w:type="dxa" w:w="2900"/>
            <w:vAlign w:val="center"/>
          </w:tcPr>
          <w:p>
            <w:pPr>
              <w:spacing w:after="40"/>
            </w:pPr>
            <w:r>
              <w:rPr>
                <w:sz w:val="18"/>
              </w:rPr>
              <w:t>Mean 0.03362; maximum 0.19661</w:t>
            </w:r>
          </w:p>
        </w:tc>
        <w:tc>
          <w:tcPr>
            <w:tcW w:type="dxa" w:w="1100"/>
            <w:vAlign w:val="center"/>
          </w:tcPr>
          <w:p>
            <w:pPr>
              <w:spacing w:after="40"/>
            </w:pPr>
            <w:r>
              <w:rPr>
                <w:sz w:val="18"/>
              </w:rPr>
              <w:t>0.1869</w:t>
            </w:r>
          </w:p>
        </w:tc>
      </w:tr>
      <w:tr>
        <w:tc>
          <w:tcPr>
            <w:tcW w:type="dxa" w:w="3100"/>
            <w:vAlign w:val="center"/>
          </w:tcPr>
          <w:p>
            <w:pPr>
              <w:spacing w:after="40"/>
            </w:pPr>
            <w:r>
              <w:rPr>
                <w:sz w:val="18"/>
              </w:rPr>
              <w:t>First-half pairs reconfirmed in withheld pages</w:t>
            </w:r>
          </w:p>
        </w:tc>
        <w:tc>
          <w:tcPr>
            <w:tcW w:type="dxa" w:w="1700"/>
            <w:vAlign w:val="center"/>
          </w:tcPr>
          <w:p>
            <w:pPr>
              <w:spacing w:after="40"/>
            </w:pPr>
            <w:r>
              <w:rPr>
                <w:sz w:val="18"/>
              </w:rPr>
              <w:t>36 of 59</w:t>
            </w:r>
          </w:p>
        </w:tc>
        <w:tc>
          <w:tcPr>
            <w:tcW w:type="dxa" w:w="2900"/>
            <w:vAlign w:val="center"/>
          </w:tcPr>
          <w:p>
            <w:pPr>
              <w:spacing w:after="40"/>
            </w:pPr>
            <w:r>
              <w:rPr>
                <w:sz w:val="18"/>
              </w:rPr>
              <w:t>Mean 11.7; maximum 97</w:t>
            </w:r>
          </w:p>
        </w:tc>
        <w:tc>
          <w:tcPr>
            <w:tcW w:type="dxa" w:w="1100"/>
            <w:vAlign w:val="center"/>
          </w:tcPr>
          <w:p>
            <w:pPr>
              <w:spacing w:after="40"/>
            </w:pPr>
            <w:r>
              <w:rPr>
                <w:sz w:val="18"/>
              </w:rPr>
              <w:t>0.1162</w:t>
            </w:r>
          </w:p>
        </w:tc>
      </w:tr>
      <w:tr>
        <w:tc>
          <w:tcPr>
            <w:tcW w:type="dxa" w:w="3100"/>
            <w:vAlign w:val="center"/>
          </w:tcPr>
          <w:p>
            <w:pPr>
              <w:spacing w:after="40"/>
            </w:pPr>
            <w:r>
              <w:rPr>
                <w:sz w:val="18"/>
              </w:rPr>
              <w:t>Reconfirmation rate</w:t>
            </w:r>
          </w:p>
        </w:tc>
        <w:tc>
          <w:tcPr>
            <w:tcW w:type="dxa" w:w="1700"/>
            <w:vAlign w:val="center"/>
          </w:tcPr>
          <w:p>
            <w:pPr>
              <w:spacing w:after="40"/>
            </w:pPr>
            <w:r>
              <w:rPr>
                <w:sz w:val="18"/>
              </w:rPr>
              <w:t>61.0%</w:t>
            </w:r>
          </w:p>
        </w:tc>
        <w:tc>
          <w:tcPr>
            <w:tcW w:type="dxa" w:w="2900"/>
            <w:vAlign w:val="center"/>
          </w:tcPr>
          <w:p>
            <w:pPr>
              <w:spacing w:after="40"/>
            </w:pPr>
            <w:r>
              <w:rPr>
                <w:sz w:val="18"/>
              </w:rPr>
              <w:t>Mean 39.1%; median 41.4%</w:t>
            </w:r>
          </w:p>
        </w:tc>
        <w:tc>
          <w:tcPr>
            <w:tcW w:type="dxa" w:w="1100"/>
            <w:vAlign w:val="center"/>
          </w:tcPr>
          <w:p>
            <w:pPr>
              <w:spacing w:after="40"/>
            </w:pPr>
            <w:r>
              <w:rPr>
                <w:sz w:val="18"/>
              </w:rPr>
              <w:t>0.3030</w:t>
            </w:r>
          </w:p>
        </w:tc>
      </w:tr>
    </w:tbl>
    <w:p>
      <w:r>
        <w:t>The -y/-ain relation is therefore real, productive, and moderately high-ranking, but it does not reach conventional significance against other Voynich suffix systems. Several alternatives—including -y/-ey, -y/-ar, -y/-aiin, -y/-ol, and -y/-al—share more stems or reconfirm more held-out pairs. This is positive evidence for a general morphological architecture, not specific evidence that -ain must mean English -ing.</w:t>
      </w:r>
    </w:p>
    <w:p>
      <w:pPr>
        <w:pStyle w:val="Heading2"/>
      </w:pPr>
      <w:r>
        <w:t>14.5 qok-family positional behavior</w:t>
      </w:r>
    </w:p>
    <w:tbl>
      <w:tblPr>
        <w:tblStyle w:val="TableGrid"/>
        <w:tblW w:type="dxa" w:w="8800"/>
        <w:jc w:val="center"/>
        <w:tblLayout w:type="fixed"/>
        <w:tblLook w:firstColumn="1" w:firstRow="1" w:lastColumn="0" w:lastRow="0" w:noHBand="0" w:noVBand="1" w:val="04A0"/>
      </w:tblPr>
      <w:tblGrid>
        <w:gridCol w:w="2500"/>
        <w:gridCol w:w="1500"/>
        <w:gridCol w:w="1600"/>
        <w:gridCol w:w="1600"/>
        <w:gridCol w:w="1600"/>
      </w:tblGrid>
      <w:tr>
        <w:tc>
          <w:tcPr>
            <w:tcW w:type="dxa" w:w="2500"/>
            <w:shd w:fill="E8EEF5"/>
          </w:tcPr>
          <w:p>
            <w:pPr>
              <w:keepNext/>
            </w:pPr>
            <w:r>
              <w:rPr>
                <w:b/>
                <w:sz w:val="18"/>
              </w:rPr>
              <w:t>Form</w:t>
            </w:r>
          </w:p>
        </w:tc>
        <w:tc>
          <w:tcPr>
            <w:tcW w:type="dxa" w:w="1500"/>
            <w:shd w:fill="E8EEF5"/>
          </w:tcPr>
          <w:p>
            <w:pPr>
              <w:keepNext/>
            </w:pPr>
            <w:r>
              <w:rPr>
                <w:b/>
                <w:sz w:val="18"/>
              </w:rPr>
              <w:t>Occurrences</w:t>
            </w:r>
          </w:p>
        </w:tc>
        <w:tc>
          <w:tcPr>
            <w:tcW w:type="dxa" w:w="1600"/>
            <w:shd w:fill="E8EEF5"/>
          </w:tcPr>
          <w:p>
            <w:pPr>
              <w:keepNext/>
            </w:pPr>
            <w:r>
              <w:rPr>
                <w:b/>
                <w:sz w:val="18"/>
              </w:rPr>
              <w:t>Line start</w:t>
            </w:r>
          </w:p>
        </w:tc>
        <w:tc>
          <w:tcPr>
            <w:tcW w:type="dxa" w:w="1600"/>
            <w:shd w:fill="E8EEF5"/>
          </w:tcPr>
          <w:p>
            <w:pPr>
              <w:keepNext/>
            </w:pPr>
            <w:r>
              <w:rPr>
                <w:b/>
                <w:sz w:val="18"/>
              </w:rPr>
              <w:t>Line middle</w:t>
            </w:r>
          </w:p>
        </w:tc>
        <w:tc>
          <w:tcPr>
            <w:tcW w:type="dxa" w:w="1600"/>
            <w:shd w:fill="E8EEF5"/>
          </w:tcPr>
          <w:p>
            <w:pPr>
              <w:keepNext/>
            </w:pPr>
            <w:r>
              <w:rPr>
                <w:b/>
                <w:sz w:val="18"/>
              </w:rPr>
              <w:t>Line end</w:t>
            </w:r>
          </w:p>
        </w:tc>
      </w:tr>
      <w:tr>
        <w:tc>
          <w:tcPr>
            <w:tcW w:type="dxa" w:w="2500"/>
            <w:vAlign w:val="center"/>
          </w:tcPr>
          <w:p>
            <w:pPr>
              <w:keepLines/>
              <w:spacing w:after="40"/>
            </w:pPr>
            <w:r>
              <w:rPr>
                <w:sz w:val="18"/>
              </w:rPr>
              <w:t>qoky → care</w:t>
            </w:r>
          </w:p>
        </w:tc>
        <w:tc>
          <w:tcPr>
            <w:tcW w:type="dxa" w:w="1500"/>
            <w:vAlign w:val="center"/>
          </w:tcPr>
          <w:p>
            <w:pPr>
              <w:keepLines/>
              <w:spacing w:after="40"/>
            </w:pPr>
            <w:r>
              <w:rPr>
                <w:sz w:val="18"/>
              </w:rPr>
              <w:t>144</w:t>
            </w:r>
          </w:p>
        </w:tc>
        <w:tc>
          <w:tcPr>
            <w:tcW w:type="dxa" w:w="1600"/>
            <w:vAlign w:val="center"/>
          </w:tcPr>
          <w:p>
            <w:pPr>
              <w:keepLines/>
              <w:spacing w:after="40"/>
            </w:pPr>
            <w:r>
              <w:rPr>
                <w:sz w:val="18"/>
              </w:rPr>
              <w:t>5 (3.5%)</w:t>
            </w:r>
          </w:p>
        </w:tc>
        <w:tc>
          <w:tcPr>
            <w:tcW w:type="dxa" w:w="1600"/>
            <w:vAlign w:val="center"/>
          </w:tcPr>
          <w:p>
            <w:pPr>
              <w:keepLines/>
              <w:spacing w:after="40"/>
            </w:pPr>
            <w:r>
              <w:rPr>
                <w:sz w:val="18"/>
              </w:rPr>
              <w:t>111 (77.1%)</w:t>
            </w:r>
          </w:p>
        </w:tc>
        <w:tc>
          <w:tcPr>
            <w:tcW w:type="dxa" w:w="1600"/>
            <w:vAlign w:val="center"/>
          </w:tcPr>
          <w:p>
            <w:pPr>
              <w:keepLines/>
              <w:spacing w:after="40"/>
            </w:pPr>
            <w:r>
              <w:rPr>
                <w:sz w:val="18"/>
              </w:rPr>
              <w:t>28 (19.4%)</w:t>
            </w:r>
          </w:p>
        </w:tc>
      </w:tr>
      <w:tr>
        <w:tc>
          <w:tcPr>
            <w:tcW w:type="dxa" w:w="2500"/>
            <w:vAlign w:val="center"/>
          </w:tcPr>
          <w:p>
            <w:pPr>
              <w:spacing w:after="40"/>
            </w:pPr>
            <w:r>
              <w:rPr>
                <w:sz w:val="18"/>
              </w:rPr>
              <w:t>qokain → caring</w:t>
            </w:r>
          </w:p>
        </w:tc>
        <w:tc>
          <w:tcPr>
            <w:tcW w:type="dxa" w:w="1500"/>
            <w:vAlign w:val="center"/>
          </w:tcPr>
          <w:p>
            <w:pPr>
              <w:spacing w:after="40"/>
            </w:pPr>
            <w:r>
              <w:rPr>
                <w:sz w:val="18"/>
              </w:rPr>
              <w:t>277</w:t>
            </w:r>
          </w:p>
        </w:tc>
        <w:tc>
          <w:tcPr>
            <w:tcW w:type="dxa" w:w="1600"/>
            <w:vAlign w:val="center"/>
          </w:tcPr>
          <w:p>
            <w:pPr>
              <w:spacing w:after="40"/>
            </w:pPr>
            <w:r>
              <w:rPr>
                <w:sz w:val="18"/>
              </w:rPr>
              <w:t>25 (9.0%)</w:t>
            </w:r>
          </w:p>
        </w:tc>
        <w:tc>
          <w:tcPr>
            <w:tcW w:type="dxa" w:w="1600"/>
            <w:vAlign w:val="center"/>
          </w:tcPr>
          <w:p>
            <w:pPr>
              <w:spacing w:after="40"/>
            </w:pPr>
            <w:r>
              <w:rPr>
                <w:sz w:val="18"/>
              </w:rPr>
              <w:t>242 (87.4%)</w:t>
            </w:r>
          </w:p>
        </w:tc>
        <w:tc>
          <w:tcPr>
            <w:tcW w:type="dxa" w:w="1600"/>
            <w:vAlign w:val="center"/>
          </w:tcPr>
          <w:p>
            <w:pPr>
              <w:spacing w:after="40"/>
            </w:pPr>
            <w:r>
              <w:rPr>
                <w:sz w:val="18"/>
              </w:rPr>
              <w:t>10 (3.6%)</w:t>
            </w:r>
          </w:p>
        </w:tc>
      </w:tr>
    </w:tbl>
    <w:p>
      <w:r>
        <w:t>Both qok forms occur in the discovery and withheld halves, so the family is stable across the manuscript. Their neighboring edge-state distributions differ substantially (Jensen–Shannon divergence 0.250 on the left and 0.388 on the right). That difference is compatible with two grammatical forms occupying different positions, but it is not uniquely English: a structural suffix system would create the same pattern in many languages or in a nonalphabetic encoding.</w:t>
      </w:r>
    </w:p>
    <w:p>
      <w:pPr>
        <w:pStyle w:val="Heading2"/>
      </w:pPr>
      <w:r>
        <w:t>14.6 Result of the stronger hypothesis</w:t>
      </w:r>
    </w:p>
    <w:p>
      <w:r>
        <w:t>The revised interpretation is narrower but more favorable to ABAD. The manuscript contains a robust stem-and-ending system, and qoky/qokain is one durable member of it. ABAD may be controlling or revealing that structural layer. What has not been shown is the semantic identity of the layer: the fixed English substitution forces a→i, i→n, and n→g, so every source ending -ain necessarily appears as -ing. To validate English, the mapping must predict coherent neighboring words, syntax, and additional irregular morphological behavior without further fitting. Those predictions were not obtained here.</w:t>
      </w:r>
    </w:p>
    <w:p>
      <w:pPr>
        <w:pStyle w:val="Heading2"/>
      </w:pPr>
      <w:r>
        <w:t>14.7 Structure-locked surface-language comparison</w:t>
      </w:r>
    </w:p>
    <w:p>
      <w:r>
        <w:t>A final preregistered phase reversed the order of inference: structure was locked first, and surface language was fitted only afterward. The frozen admissibility rule preserved line and page boundaries, applied one midpoint spacing flip per line, assigned qo-initial tokens to A, ch/sh/cth-initial tokens to B, selected terminal families to D, and retained only exact A–B–A–D windows. Alternate whole pages were withheld. This yielded 140 training tokens and 124 held-out tokens. Because the supplied papers do not publish complete numerical slot weights, this is a reproducible operationalization—not a claim to recover an unpublished canonical ABAD key.</w:t>
      </w:r>
    </w:p>
    <w:tbl>
      <w:tblPr>
        <w:tblStyle w:val="TableGrid"/>
        <w:tblW w:type="dxa" w:w="9000"/>
        <w:jc w:val="center"/>
        <w:tblLayout w:type="fixed"/>
        <w:tblLook w:firstColumn="1" w:firstRow="1" w:lastColumn="0" w:lastRow="0" w:noHBand="0" w:noVBand="1" w:val="04A0"/>
      </w:tblPr>
      <w:tblGrid>
        <w:gridCol w:w="2800"/>
        <w:gridCol w:w="1600"/>
        <w:gridCol w:w="1600"/>
        <w:gridCol w:w="1500"/>
        <w:gridCol w:w="1500"/>
      </w:tblGrid>
      <w:tr>
        <w:tc>
          <w:tcPr>
            <w:tcW w:type="dxa" w:w="2800"/>
            <w:shd w:fill="E8EEF5"/>
          </w:tcPr>
          <w:p>
            <w:pPr>
              <w:keepNext/>
            </w:pPr>
            <w:r>
              <w:rPr>
                <w:b/>
                <w:sz w:val="18"/>
              </w:rPr>
              <w:t>Surface hypothesis</w:t>
            </w:r>
          </w:p>
        </w:tc>
        <w:tc>
          <w:tcPr>
            <w:tcW w:type="dxa" w:w="1600"/>
            <w:shd w:fill="E8EEF5"/>
          </w:tcPr>
          <w:p>
            <w:pPr>
              <w:keepNext/>
            </w:pPr>
            <w:r>
              <w:rPr>
                <w:b/>
                <w:sz w:val="18"/>
              </w:rPr>
              <w:t>Training score</w:t>
            </w:r>
          </w:p>
        </w:tc>
        <w:tc>
          <w:tcPr>
            <w:tcW w:type="dxa" w:w="1600"/>
            <w:shd w:fill="E8EEF5"/>
          </w:tcPr>
          <w:p>
            <w:pPr>
              <w:keepNext/>
            </w:pPr>
            <w:r>
              <w:rPr>
                <w:b/>
                <w:sz w:val="18"/>
              </w:rPr>
              <w:t>Held-out score</w:t>
            </w:r>
          </w:p>
        </w:tc>
        <w:tc>
          <w:tcPr>
            <w:tcW w:type="dxa" w:w="1500"/>
            <w:shd w:fill="E8EEF5"/>
          </w:tcPr>
          <w:p>
            <w:pPr>
              <w:keepNext/>
            </w:pPr>
            <w:r>
              <w:rPr>
                <w:b/>
                <w:sz w:val="18"/>
              </w:rPr>
              <w:t>Shuffled-fit p</w:t>
            </w:r>
          </w:p>
        </w:tc>
        <w:tc>
          <w:tcPr>
            <w:tcW w:type="dxa" w:w="1500"/>
            <w:shd w:fill="E8EEF5"/>
          </w:tcPr>
          <w:p>
            <w:pPr>
              <w:keepNext/>
            </w:pPr>
            <w:r>
              <w:rPr>
                <w:b/>
                <w:sz w:val="18"/>
              </w:rPr>
              <w:t>Section-anchor p</w:t>
            </w:r>
          </w:p>
        </w:tc>
      </w:tr>
      <w:tr>
        <w:tc>
          <w:tcPr>
            <w:tcW w:type="dxa" w:w="2800"/>
            <w:vAlign w:val="center"/>
          </w:tcPr>
          <w:p>
            <w:pPr>
              <w:keepLines/>
              <w:spacing w:after="40"/>
            </w:pPr>
            <w:r>
              <w:rPr>
                <w:sz w:val="18"/>
              </w:rPr>
              <w:t>Strict English</w:t>
            </w:r>
          </w:p>
        </w:tc>
        <w:tc>
          <w:tcPr>
            <w:tcW w:type="dxa" w:w="1600"/>
            <w:vAlign w:val="center"/>
          </w:tcPr>
          <w:p>
            <w:pPr>
              <w:keepLines/>
              <w:spacing w:after="40"/>
            </w:pPr>
            <w:r>
              <w:rPr>
                <w:sz w:val="18"/>
              </w:rPr>
              <w:t>−4.4559</w:t>
            </w:r>
          </w:p>
        </w:tc>
        <w:tc>
          <w:tcPr>
            <w:tcW w:type="dxa" w:w="1600"/>
            <w:vAlign w:val="center"/>
          </w:tcPr>
          <w:p>
            <w:pPr>
              <w:keepLines/>
              <w:spacing w:after="40"/>
            </w:pPr>
            <w:r>
              <w:rPr>
                <w:sz w:val="18"/>
              </w:rPr>
              <w:t>−4.5084</w:t>
            </w:r>
          </w:p>
        </w:tc>
        <w:tc>
          <w:tcPr>
            <w:tcW w:type="dxa" w:w="1500"/>
            <w:vAlign w:val="center"/>
          </w:tcPr>
          <w:p>
            <w:pPr>
              <w:keepLines/>
              <w:spacing w:after="40"/>
            </w:pPr>
            <w:r>
              <w:rPr>
                <w:sz w:val="18"/>
              </w:rPr>
              <w:t>0.0769</w:t>
            </w:r>
          </w:p>
        </w:tc>
        <w:tc>
          <w:tcPr>
            <w:tcW w:type="dxa" w:w="1500"/>
            <w:vAlign w:val="center"/>
          </w:tcPr>
          <w:p>
            <w:pPr>
              <w:keepLines/>
              <w:spacing w:after="40"/>
            </w:pPr>
            <w:r>
              <w:rPr>
                <w:sz w:val="18"/>
              </w:rPr>
              <w:t>0.0350 nominal</w:t>
            </w:r>
          </w:p>
        </w:tc>
      </w:tr>
      <w:tr>
        <w:tc>
          <w:tcPr>
            <w:tcW w:type="dxa" w:w="2800"/>
            <w:vAlign w:val="center"/>
          </w:tcPr>
          <w:p>
            <w:pPr>
              <w:spacing w:after="40"/>
            </w:pPr>
            <w:r>
              <w:rPr>
                <w:sz w:val="18"/>
              </w:rPr>
              <w:t>Abbreviated Latin/medical register</w:t>
            </w:r>
          </w:p>
        </w:tc>
        <w:tc>
          <w:tcPr>
            <w:tcW w:type="dxa" w:w="1600"/>
            <w:vAlign w:val="center"/>
          </w:tcPr>
          <w:p>
            <w:pPr>
              <w:spacing w:after="40"/>
            </w:pPr>
            <w:r>
              <w:rPr>
                <w:sz w:val="18"/>
              </w:rPr>
              <w:t>−4.0529</w:t>
            </w:r>
          </w:p>
        </w:tc>
        <w:tc>
          <w:tcPr>
            <w:tcW w:type="dxa" w:w="1600"/>
            <w:vAlign w:val="center"/>
          </w:tcPr>
          <w:p>
            <w:pPr>
              <w:spacing w:after="40"/>
            </w:pPr>
            <w:r>
              <w:rPr>
                <w:sz w:val="18"/>
              </w:rPr>
              <w:t>−4.0920</w:t>
            </w:r>
          </w:p>
        </w:tc>
        <w:tc>
          <w:tcPr>
            <w:tcW w:type="dxa" w:w="1500"/>
            <w:vAlign w:val="center"/>
          </w:tcPr>
          <w:p>
            <w:pPr>
              <w:spacing w:after="40"/>
            </w:pPr>
            <w:r>
              <w:rPr>
                <w:sz w:val="18"/>
              </w:rPr>
              <w:t>0.2308</w:t>
            </w:r>
          </w:p>
        </w:tc>
        <w:tc>
          <w:tcPr>
            <w:tcW w:type="dxa" w:w="1500"/>
            <w:vAlign w:val="center"/>
          </w:tcPr>
          <w:p>
            <w:pPr>
              <w:spacing w:after="40"/>
            </w:pPr>
            <w:r>
              <w:rPr>
                <w:sz w:val="18"/>
              </w:rPr>
              <w:t>0.4515</w:t>
            </w:r>
          </w:p>
        </w:tc>
      </w:tr>
      <w:tr>
        <w:tc>
          <w:tcPr>
            <w:tcW w:type="dxa" w:w="2800"/>
            <w:vAlign w:val="center"/>
          </w:tcPr>
          <w:p>
            <w:pPr>
              <w:spacing w:after="40"/>
            </w:pPr>
            <w:r>
              <w:rPr>
                <w:sz w:val="18"/>
              </w:rPr>
              <w:t>French/Romance</w:t>
            </w:r>
          </w:p>
        </w:tc>
        <w:tc>
          <w:tcPr>
            <w:tcW w:type="dxa" w:w="1600"/>
            <w:vAlign w:val="center"/>
          </w:tcPr>
          <w:p>
            <w:pPr>
              <w:spacing w:after="40"/>
            </w:pPr>
            <w:r>
              <w:rPr>
                <w:sz w:val="18"/>
              </w:rPr>
              <w:t>−4.4382</w:t>
            </w:r>
          </w:p>
        </w:tc>
        <w:tc>
          <w:tcPr>
            <w:tcW w:type="dxa" w:w="1600"/>
            <w:vAlign w:val="center"/>
          </w:tcPr>
          <w:p>
            <w:pPr>
              <w:spacing w:after="40"/>
            </w:pPr>
            <w:r>
              <w:rPr>
                <w:sz w:val="18"/>
              </w:rPr>
              <w:t>−4.4936</w:t>
            </w:r>
          </w:p>
        </w:tc>
        <w:tc>
          <w:tcPr>
            <w:tcW w:type="dxa" w:w="1500"/>
            <w:vAlign w:val="center"/>
          </w:tcPr>
          <w:p>
            <w:pPr>
              <w:spacing w:after="40"/>
            </w:pPr>
            <w:r>
              <w:rPr>
                <w:sz w:val="18"/>
              </w:rPr>
              <w:t>0.2308</w:t>
            </w:r>
          </w:p>
        </w:tc>
        <w:tc>
          <w:tcPr>
            <w:tcW w:type="dxa" w:w="1500"/>
            <w:vAlign w:val="center"/>
          </w:tcPr>
          <w:p>
            <w:pPr>
              <w:spacing w:after="40"/>
            </w:pPr>
            <w:r>
              <w:rPr>
                <w:sz w:val="18"/>
              </w:rPr>
              <w:t>0.7852</w:t>
            </w:r>
          </w:p>
        </w:tc>
      </w:tr>
      <w:tr>
        <w:tc>
          <w:tcPr>
            <w:tcW w:type="dxa" w:w="2800"/>
            <w:vAlign w:val="center"/>
          </w:tcPr>
          <w:p>
            <w:pPr>
              <w:spacing w:after="40"/>
            </w:pPr>
            <w:r>
              <w:rPr>
                <w:sz w:val="18"/>
              </w:rPr>
              <w:t>Italian/Romance</w:t>
            </w:r>
          </w:p>
        </w:tc>
        <w:tc>
          <w:tcPr>
            <w:tcW w:type="dxa" w:w="1600"/>
            <w:vAlign w:val="center"/>
          </w:tcPr>
          <w:p>
            <w:pPr>
              <w:spacing w:after="40"/>
            </w:pPr>
            <w:r>
              <w:rPr>
                <w:sz w:val="18"/>
              </w:rPr>
              <w:t>−4.4648</w:t>
            </w:r>
          </w:p>
        </w:tc>
        <w:tc>
          <w:tcPr>
            <w:tcW w:type="dxa" w:w="1600"/>
            <w:vAlign w:val="center"/>
          </w:tcPr>
          <w:p>
            <w:pPr>
              <w:spacing w:after="40"/>
            </w:pPr>
            <w:r>
              <w:rPr>
                <w:sz w:val="18"/>
              </w:rPr>
              <w:t>−4.4976</w:t>
            </w:r>
          </w:p>
        </w:tc>
        <w:tc>
          <w:tcPr>
            <w:tcW w:type="dxa" w:w="1500"/>
            <w:vAlign w:val="center"/>
          </w:tcPr>
          <w:p>
            <w:pPr>
              <w:spacing w:after="40"/>
            </w:pPr>
            <w:r>
              <w:rPr>
                <w:sz w:val="18"/>
              </w:rPr>
              <w:t>0.4615</w:t>
            </w:r>
          </w:p>
        </w:tc>
        <w:tc>
          <w:tcPr>
            <w:tcW w:type="dxa" w:w="1500"/>
            <w:vAlign w:val="center"/>
          </w:tcPr>
          <w:p>
            <w:pPr>
              <w:spacing w:after="40"/>
            </w:pPr>
            <w:r>
              <w:rPr>
                <w:sz w:val="18"/>
              </w:rPr>
              <w:t>0.8631</w:t>
            </w:r>
          </w:p>
        </w:tc>
      </w:tr>
      <w:tr>
        <w:tc>
          <w:tcPr>
            <w:tcW w:type="dxa" w:w="2800"/>
            <w:vAlign w:val="center"/>
          </w:tcPr>
          <w:p>
            <w:pPr>
              <w:spacing w:after="40"/>
            </w:pPr>
            <w:r>
              <w:rPr>
                <w:sz w:val="18"/>
              </w:rPr>
              <w:t>Spanish/Romance</w:t>
            </w:r>
          </w:p>
        </w:tc>
        <w:tc>
          <w:tcPr>
            <w:tcW w:type="dxa" w:w="1600"/>
            <w:vAlign w:val="center"/>
          </w:tcPr>
          <w:p>
            <w:pPr>
              <w:spacing w:after="40"/>
            </w:pPr>
            <w:r>
              <w:rPr>
                <w:sz w:val="18"/>
              </w:rPr>
              <w:t>−4.3528</w:t>
            </w:r>
          </w:p>
        </w:tc>
        <w:tc>
          <w:tcPr>
            <w:tcW w:type="dxa" w:w="1600"/>
            <w:vAlign w:val="center"/>
          </w:tcPr>
          <w:p>
            <w:pPr>
              <w:spacing w:after="40"/>
            </w:pPr>
            <w:r>
              <w:rPr>
                <w:sz w:val="18"/>
              </w:rPr>
              <w:t>−4.4293</w:t>
            </w:r>
          </w:p>
        </w:tc>
        <w:tc>
          <w:tcPr>
            <w:tcW w:type="dxa" w:w="1500"/>
            <w:vAlign w:val="center"/>
          </w:tcPr>
          <w:p>
            <w:pPr>
              <w:spacing w:after="40"/>
            </w:pPr>
            <w:r>
              <w:rPr>
                <w:sz w:val="18"/>
              </w:rPr>
              <w:t>0.0769</w:t>
            </w:r>
          </w:p>
        </w:tc>
        <w:tc>
          <w:tcPr>
            <w:tcW w:type="dxa" w:w="1500"/>
            <w:vAlign w:val="center"/>
          </w:tcPr>
          <w:p>
            <w:pPr>
              <w:spacing w:after="40"/>
            </w:pPr>
            <w:r>
              <w:rPr>
                <w:sz w:val="18"/>
              </w:rPr>
              <w:t>0.1908</w:t>
            </w:r>
          </w:p>
        </w:tc>
      </w:tr>
    </w:tbl>
    <w:p>
      <w:r>
        <w:t>Every hypothesis used the same optimizer budget and twelve shuffled-order refits. The language scores are model-relative and cannot be compared directly across rows; each row must be judged against its own shuffled controls. English and Spanish reached the smallest attainable empirical p-value at this control count, but neither crossed p&lt;0.05. Latin/medical, French, and Italian did not separate from shuffled order.</w:t>
      </w:r>
    </w:p>
    <w:p>
      <w:r>
        <w:t>The English anchor result was nominally positive, but the total observed anchor similarity was only 0.25 and equaled the maximum permutation value. It does not survive correction across five tested surface hypotheses (conservative adjusted p≈0.175). No other language showed section-specific enrichment. The illustration gate therefore remained closed.</w:t>
      </w:r>
    </w:p>
    <w:p>
      <w:pPr>
        <w:pStyle w:val="Heading2"/>
      </w:pPr>
      <w:r>
        <w:t>14.8 Joint-gate decision</w:t>
      </w:r>
    </w:p>
    <w:tbl>
      <w:tblPr>
        <w:tblStyle w:val="TableGrid"/>
        <w:tblW w:type="dxa" w:w="9000"/>
        <w:jc w:val="center"/>
        <w:tblLayout w:type="fixed"/>
        <w:tblLook w:firstColumn="1" w:firstRow="1" w:lastColumn="0" w:lastRow="0" w:noHBand="0" w:noVBand="1" w:val="04A0"/>
      </w:tblPr>
      <w:tblGrid>
        <w:gridCol w:w="3000"/>
        <w:gridCol w:w="4600"/>
        <w:gridCol w:w="1400"/>
      </w:tblGrid>
      <w:tr>
        <w:tc>
          <w:tcPr>
            <w:tcW w:type="dxa" w:w="3000"/>
            <w:shd w:fill="E8EEF5"/>
          </w:tcPr>
          <w:p>
            <w:pPr>
              <w:keepNext/>
            </w:pPr>
            <w:r>
              <w:rPr>
                <w:b/>
                <w:sz w:val="18"/>
              </w:rPr>
              <w:t>Required discriminator</w:t>
            </w:r>
          </w:p>
        </w:tc>
        <w:tc>
          <w:tcPr>
            <w:tcW w:type="dxa" w:w="4600"/>
            <w:shd w:fill="E8EEF5"/>
          </w:tcPr>
          <w:p>
            <w:pPr>
              <w:keepNext/>
            </w:pPr>
            <w:r>
              <w:rPr>
                <w:b/>
                <w:sz w:val="18"/>
              </w:rPr>
              <w:t>Outcome</w:t>
            </w:r>
          </w:p>
        </w:tc>
        <w:tc>
          <w:tcPr>
            <w:tcW w:type="dxa" w:w="1400"/>
            <w:shd w:fill="E8EEF5"/>
          </w:tcPr>
          <w:p>
            <w:pPr>
              <w:keepNext/>
            </w:pPr>
            <w:r>
              <w:rPr>
                <w:b/>
                <w:sz w:val="18"/>
              </w:rPr>
              <w:t>Gate</w:t>
            </w:r>
          </w:p>
        </w:tc>
      </w:tr>
      <w:tr>
        <w:tc>
          <w:tcPr>
            <w:tcW w:type="dxa" w:w="3000"/>
            <w:vAlign w:val="center"/>
          </w:tcPr>
          <w:p>
            <w:pPr>
              <w:keepLines/>
              <w:spacing w:after="40"/>
            </w:pPr>
            <w:r>
              <w:rPr>
                <w:sz w:val="18"/>
              </w:rPr>
              <w:t>Respect frozen ABAD structure</w:t>
            </w:r>
          </w:p>
        </w:tc>
        <w:tc>
          <w:tcPr>
            <w:tcW w:type="dxa" w:w="4600"/>
            <w:vAlign w:val="center"/>
          </w:tcPr>
          <w:p>
            <w:pPr>
              <w:keepLines/>
              <w:spacing w:after="40"/>
            </w:pPr>
            <w:r>
              <w:rPr>
                <w:sz w:val="18"/>
              </w:rPr>
              <w:t>All five models were fitted only to admissible A–B–A–D windows.</w:t>
            </w:r>
          </w:p>
        </w:tc>
        <w:tc>
          <w:tcPr>
            <w:tcW w:type="dxa" w:w="1400"/>
            <w:vAlign w:val="center"/>
          </w:tcPr>
          <w:p>
            <w:pPr>
              <w:keepLines/>
              <w:spacing w:after="40"/>
            </w:pPr>
            <w:r>
              <w:rPr>
                <w:sz w:val="18"/>
              </w:rPr>
              <w:t>Passed by design</w:t>
            </w:r>
          </w:p>
        </w:tc>
      </w:tr>
      <w:tr>
        <w:tc>
          <w:tcPr>
            <w:tcW w:type="dxa" w:w="3000"/>
            <w:vAlign w:val="center"/>
          </w:tcPr>
          <w:p>
            <w:pPr>
              <w:spacing w:after="40"/>
            </w:pPr>
            <w:r>
              <w:rPr>
                <w:sz w:val="18"/>
              </w:rPr>
              <w:t>Beat native Voynich suffix controls on held-out stem recurrence</w:t>
            </w:r>
          </w:p>
        </w:tc>
        <w:tc>
          <w:tcPr>
            <w:tcW w:type="dxa" w:w="4600"/>
            <w:vAlign w:val="center"/>
          </w:tcPr>
          <w:p>
            <w:pPr>
              <w:spacing w:after="40"/>
            </w:pPr>
            <w:r>
              <w:rPr>
                <w:sz w:val="18"/>
              </w:rPr>
              <w:t>The -y/-ain shared-stem p≈0.096 and reconfirmation-rate p≈0.303 are unchanged by one-to-one substitution.</w:t>
            </w:r>
          </w:p>
        </w:tc>
        <w:tc>
          <w:tcPr>
            <w:tcW w:type="dxa" w:w="1400"/>
            <w:vAlign w:val="center"/>
          </w:tcPr>
          <w:p>
            <w:pPr>
              <w:spacing w:after="40"/>
            </w:pPr>
            <w:r>
              <w:rPr>
                <w:sz w:val="18"/>
              </w:rPr>
              <w:t>Failed</w:t>
            </w:r>
          </w:p>
        </w:tc>
      </w:tr>
      <w:tr>
        <w:tc>
          <w:tcPr>
            <w:tcW w:type="dxa" w:w="3000"/>
            <w:vAlign w:val="center"/>
          </w:tcPr>
          <w:p>
            <w:pPr>
              <w:spacing w:after="40"/>
            </w:pPr>
            <w:r>
              <w:rPr>
                <w:sz w:val="18"/>
              </w:rPr>
              <w:t>Align with illustration sections better than nulls</w:t>
            </w:r>
          </w:p>
        </w:tc>
        <w:tc>
          <w:tcPr>
            <w:tcW w:type="dxa" w:w="4600"/>
            <w:vAlign w:val="center"/>
          </w:tcPr>
          <w:p>
            <w:pPr>
              <w:spacing w:after="40"/>
            </w:pPr>
            <w:r>
              <w:rPr>
                <w:sz w:val="18"/>
              </w:rPr>
              <w:t>No corrected surface hypothesis showed reliable section enrichment.</w:t>
            </w:r>
          </w:p>
        </w:tc>
        <w:tc>
          <w:tcPr>
            <w:tcW w:type="dxa" w:w="1400"/>
            <w:vAlign w:val="center"/>
          </w:tcPr>
          <w:p>
            <w:pPr>
              <w:spacing w:after="40"/>
            </w:pPr>
            <w:r>
              <w:rPr>
                <w:sz w:val="18"/>
              </w:rPr>
              <w:t>Failed</w:t>
            </w:r>
          </w:p>
        </w:tc>
      </w:tr>
    </w:tbl>
    <w:p>
      <w:r>
        <w:t>No candidate mapping passed the joint criterion. This is diagnostically useful: under a one-to-one character substitution, the morphological recurrence statistic is mathematically invariant, so language fitting cannot rescue it. The next meaningful model class would have to alter segmentation—such as abbreviation expansion, many-to-one glyph groups, null deletion, or context-conditioned morphemes—while keeping the ABAD structural filters frozen. That step should be attempted only with a fully specified abbreviation grammar and a larger, independently sourced medieval corpus; otherwise its flexibility would make false plaintext easy to manufacture.</w:t>
      </w:r>
    </w:p>
    <w:p>
      <w:pPr>
        <w:pStyle w:val="Heading2"/>
      </w:pPr>
      <w:r>
        <w:t>14.9 Proposed numerical-weight freeze v1.0</w:t>
      </w:r>
    </w:p>
    <w:p>
      <w:r>
        <w:t>A subsequently proposed operational freeze supplied the missing numerical priorities: leading A=0.28, first-internal B=0.22, second-internal A=0.18, trailing D=0.32, φ-center bonus=+0.15, and spacing-state flip bonus=+0.10. It also specified illustration preferences: herbal pages prefer leading A or trailing D; astronomical/zodiac pages prefer internal B plus φ-center; balneological pages prefer balanced A–B–A–D with low spacing change; pharmaceutical pages prefer trailing D; dense recipe pages leave all slots open; and unillustrated pages receive no bonus. These values were treated as a proposed testable v1.0, not as historically recovered ABAD constants.</w:t>
      </w:r>
    </w:p>
    <w:p>
      <w:r>
        <w:t>For reproducibility, a candidate window required weighted score ≥0.60 and compliance with its illustration-class preference. A spacing-state flip was registered when IVTFF certain and uncertain word-space states changed locally; this does not reinterpret commas as sentence punctuation. Alternate whole pages remained held out. The freeze admitted 4,184 training-stream tokens and 3,688 held-out tokens; the optimizer used the first 400 training tokens under an equal budget for every surface hypothesis and control.</w:t>
      </w:r>
    </w:p>
    <w:tbl>
      <w:tblPr>
        <w:tblStyle w:val="TableGrid"/>
        <w:tblW w:type="dxa" w:w="9000"/>
        <w:jc w:val="center"/>
        <w:tblLayout w:type="fixed"/>
        <w:tblLook w:firstColumn="1" w:firstRow="1" w:lastColumn="0" w:lastRow="0" w:noHBand="0" w:noVBand="1" w:val="04A0"/>
      </w:tblPr>
      <w:tblGrid>
        <w:gridCol w:w="2800"/>
        <w:gridCol w:w="1500"/>
        <w:gridCol w:w="1500"/>
        <w:gridCol w:w="1600"/>
        <w:gridCol w:w="1600"/>
      </w:tblGrid>
      <w:tr>
        <w:tc>
          <w:tcPr>
            <w:tcW w:type="dxa" w:w="2800"/>
            <w:shd w:fill="E8EEF5"/>
          </w:tcPr>
          <w:p>
            <w:pPr>
              <w:keepNext/>
            </w:pPr>
            <w:r>
              <w:rPr>
                <w:b/>
                <w:sz w:val="18"/>
              </w:rPr>
              <w:t>Surface hypothesis</w:t>
            </w:r>
          </w:p>
        </w:tc>
        <w:tc>
          <w:tcPr>
            <w:tcW w:type="dxa" w:w="1500"/>
            <w:shd w:fill="E8EEF5"/>
          </w:tcPr>
          <w:p>
            <w:pPr>
              <w:keepNext/>
            </w:pPr>
            <w:r>
              <w:rPr>
                <w:b/>
                <w:sz w:val="18"/>
              </w:rPr>
              <w:t>Training</w:t>
            </w:r>
          </w:p>
        </w:tc>
        <w:tc>
          <w:tcPr>
            <w:tcW w:type="dxa" w:w="1500"/>
            <w:shd w:fill="E8EEF5"/>
          </w:tcPr>
          <w:p>
            <w:pPr>
              <w:keepNext/>
            </w:pPr>
            <w:r>
              <w:rPr>
                <w:b/>
                <w:sz w:val="18"/>
              </w:rPr>
              <w:t>Held-out</w:t>
            </w:r>
          </w:p>
        </w:tc>
        <w:tc>
          <w:tcPr>
            <w:tcW w:type="dxa" w:w="1600"/>
            <w:shd w:fill="E8EEF5"/>
          </w:tcPr>
          <w:p>
            <w:pPr>
              <w:keepNext/>
            </w:pPr>
            <w:r>
              <w:rPr>
                <w:b/>
                <w:sz w:val="18"/>
              </w:rPr>
              <w:t>Shuffled-fit p</w:t>
            </w:r>
          </w:p>
        </w:tc>
        <w:tc>
          <w:tcPr>
            <w:tcW w:type="dxa" w:w="1600"/>
            <w:shd w:fill="E8EEF5"/>
          </w:tcPr>
          <w:p>
            <w:pPr>
              <w:keepNext/>
            </w:pPr>
            <w:r>
              <w:rPr>
                <w:b/>
                <w:sz w:val="18"/>
              </w:rPr>
              <w:t>Illustration p</w:t>
            </w:r>
          </w:p>
        </w:tc>
      </w:tr>
      <w:tr>
        <w:tc>
          <w:tcPr>
            <w:tcW w:type="dxa" w:w="2800"/>
            <w:vAlign w:val="center"/>
          </w:tcPr>
          <w:p>
            <w:pPr>
              <w:keepLines/>
              <w:spacing w:after="40"/>
            </w:pPr>
            <w:r>
              <w:rPr>
                <w:sz w:val="18"/>
              </w:rPr>
              <w:t>Strict English</w:t>
            </w:r>
          </w:p>
        </w:tc>
        <w:tc>
          <w:tcPr>
            <w:tcW w:type="dxa" w:w="1500"/>
            <w:vAlign w:val="center"/>
          </w:tcPr>
          <w:p>
            <w:pPr>
              <w:keepLines/>
              <w:spacing w:after="40"/>
            </w:pPr>
            <w:r>
              <w:rPr>
                <w:sz w:val="18"/>
              </w:rPr>
              <w:t>−4.6200</w:t>
            </w:r>
          </w:p>
        </w:tc>
        <w:tc>
          <w:tcPr>
            <w:tcW w:type="dxa" w:w="1500"/>
            <w:vAlign w:val="center"/>
          </w:tcPr>
          <w:p>
            <w:pPr>
              <w:keepLines/>
              <w:spacing w:after="40"/>
            </w:pPr>
            <w:r>
              <w:rPr>
                <w:sz w:val="18"/>
              </w:rPr>
              <w:t>−4.6473</w:t>
            </w:r>
          </w:p>
        </w:tc>
        <w:tc>
          <w:tcPr>
            <w:tcW w:type="dxa" w:w="1600"/>
            <w:vAlign w:val="center"/>
          </w:tcPr>
          <w:p>
            <w:pPr>
              <w:keepLines/>
              <w:spacing w:after="40"/>
            </w:pPr>
            <w:r>
              <w:rPr>
                <w:sz w:val="18"/>
              </w:rPr>
              <w:t>0.2222</w:t>
            </w:r>
          </w:p>
        </w:tc>
        <w:tc>
          <w:tcPr>
            <w:tcW w:type="dxa" w:w="1600"/>
            <w:vAlign w:val="center"/>
          </w:tcPr>
          <w:p>
            <w:pPr>
              <w:keepLines/>
              <w:spacing w:after="40"/>
            </w:pPr>
            <w:r>
              <w:rPr>
                <w:sz w:val="18"/>
              </w:rPr>
              <w:t>1.0000</w:t>
            </w:r>
          </w:p>
        </w:tc>
      </w:tr>
      <w:tr>
        <w:tc>
          <w:tcPr>
            <w:tcW w:type="dxa" w:w="2800"/>
            <w:vAlign w:val="center"/>
          </w:tcPr>
          <w:p>
            <w:pPr>
              <w:spacing w:after="40"/>
            </w:pPr>
            <w:r>
              <w:rPr>
                <w:sz w:val="18"/>
              </w:rPr>
              <w:t>Latin/medical register</w:t>
            </w:r>
          </w:p>
        </w:tc>
        <w:tc>
          <w:tcPr>
            <w:tcW w:type="dxa" w:w="1500"/>
            <w:vAlign w:val="center"/>
          </w:tcPr>
          <w:p>
            <w:pPr>
              <w:spacing w:after="40"/>
            </w:pPr>
            <w:r>
              <w:rPr>
                <w:sz w:val="18"/>
              </w:rPr>
              <w:t>−4.2140</w:t>
            </w:r>
          </w:p>
        </w:tc>
        <w:tc>
          <w:tcPr>
            <w:tcW w:type="dxa" w:w="1500"/>
            <w:vAlign w:val="center"/>
          </w:tcPr>
          <w:p>
            <w:pPr>
              <w:spacing w:after="40"/>
            </w:pPr>
            <w:r>
              <w:rPr>
                <w:sz w:val="18"/>
              </w:rPr>
              <w:t>−4.2142</w:t>
            </w:r>
          </w:p>
        </w:tc>
        <w:tc>
          <w:tcPr>
            <w:tcW w:type="dxa" w:w="1600"/>
            <w:vAlign w:val="center"/>
          </w:tcPr>
          <w:p>
            <w:pPr>
              <w:spacing w:after="40"/>
            </w:pPr>
            <w:r>
              <w:rPr>
                <w:sz w:val="18"/>
              </w:rPr>
              <w:t>0.7778</w:t>
            </w:r>
          </w:p>
        </w:tc>
        <w:tc>
          <w:tcPr>
            <w:tcW w:type="dxa" w:w="1600"/>
            <w:vAlign w:val="center"/>
          </w:tcPr>
          <w:p>
            <w:pPr>
              <w:spacing w:after="40"/>
            </w:pPr>
            <w:r>
              <w:rPr>
                <w:sz w:val="18"/>
              </w:rPr>
              <w:t>0.5025</w:t>
            </w:r>
          </w:p>
        </w:tc>
      </w:tr>
      <w:tr>
        <w:tc>
          <w:tcPr>
            <w:tcW w:type="dxa" w:w="2800"/>
            <w:vAlign w:val="center"/>
          </w:tcPr>
          <w:p>
            <w:pPr>
              <w:spacing w:after="40"/>
            </w:pPr>
            <w:r>
              <w:rPr>
                <w:sz w:val="18"/>
              </w:rPr>
              <w:t>French/Romance</w:t>
            </w:r>
          </w:p>
        </w:tc>
        <w:tc>
          <w:tcPr>
            <w:tcW w:type="dxa" w:w="1500"/>
            <w:vAlign w:val="center"/>
          </w:tcPr>
          <w:p>
            <w:pPr>
              <w:spacing w:after="40"/>
            </w:pPr>
            <w:r>
              <w:rPr>
                <w:sz w:val="18"/>
              </w:rPr>
              <w:t>−4.6432</w:t>
            </w:r>
          </w:p>
        </w:tc>
        <w:tc>
          <w:tcPr>
            <w:tcW w:type="dxa" w:w="1500"/>
            <w:vAlign w:val="center"/>
          </w:tcPr>
          <w:p>
            <w:pPr>
              <w:spacing w:after="40"/>
            </w:pPr>
            <w:r>
              <w:rPr>
                <w:sz w:val="18"/>
              </w:rPr>
              <w:t>−4.6498</w:t>
            </w:r>
          </w:p>
        </w:tc>
        <w:tc>
          <w:tcPr>
            <w:tcW w:type="dxa" w:w="1600"/>
            <w:vAlign w:val="center"/>
          </w:tcPr>
          <w:p>
            <w:pPr>
              <w:spacing w:after="40"/>
            </w:pPr>
            <w:r>
              <w:rPr>
                <w:sz w:val="18"/>
              </w:rPr>
              <w:t>0.2222</w:t>
            </w:r>
          </w:p>
        </w:tc>
        <w:tc>
          <w:tcPr>
            <w:tcW w:type="dxa" w:w="1600"/>
            <w:vAlign w:val="center"/>
          </w:tcPr>
          <w:p>
            <w:pPr>
              <w:spacing w:after="40"/>
            </w:pPr>
            <w:r>
              <w:rPr>
                <w:sz w:val="18"/>
              </w:rPr>
              <w:t>1.0000</w:t>
            </w:r>
          </w:p>
        </w:tc>
      </w:tr>
      <w:tr>
        <w:tc>
          <w:tcPr>
            <w:tcW w:type="dxa" w:w="2800"/>
            <w:vAlign w:val="center"/>
          </w:tcPr>
          <w:p>
            <w:pPr>
              <w:spacing w:after="40"/>
            </w:pPr>
            <w:r>
              <w:rPr>
                <w:sz w:val="18"/>
              </w:rPr>
              <w:t>Italian/Romance</w:t>
            </w:r>
          </w:p>
        </w:tc>
        <w:tc>
          <w:tcPr>
            <w:tcW w:type="dxa" w:w="1500"/>
            <w:vAlign w:val="center"/>
          </w:tcPr>
          <w:p>
            <w:pPr>
              <w:spacing w:after="40"/>
            </w:pPr>
            <w:r>
              <w:rPr>
                <w:sz w:val="18"/>
              </w:rPr>
              <w:t>−4.6356</w:t>
            </w:r>
          </w:p>
        </w:tc>
        <w:tc>
          <w:tcPr>
            <w:tcW w:type="dxa" w:w="1500"/>
            <w:vAlign w:val="center"/>
          </w:tcPr>
          <w:p>
            <w:pPr>
              <w:spacing w:after="40"/>
            </w:pPr>
            <w:r>
              <w:rPr>
                <w:sz w:val="18"/>
              </w:rPr>
              <w:t>−4.6333</w:t>
            </w:r>
          </w:p>
        </w:tc>
        <w:tc>
          <w:tcPr>
            <w:tcW w:type="dxa" w:w="1600"/>
            <w:vAlign w:val="center"/>
          </w:tcPr>
          <w:p>
            <w:pPr>
              <w:spacing w:after="40"/>
            </w:pPr>
            <w:r>
              <w:rPr>
                <w:sz w:val="18"/>
              </w:rPr>
              <w:t>0.3333</w:t>
            </w:r>
          </w:p>
        </w:tc>
        <w:tc>
          <w:tcPr>
            <w:tcW w:type="dxa" w:w="1600"/>
            <w:vAlign w:val="center"/>
          </w:tcPr>
          <w:p>
            <w:pPr>
              <w:spacing w:after="40"/>
            </w:pPr>
            <w:r>
              <w:rPr>
                <w:sz w:val="18"/>
              </w:rPr>
              <w:t>0.6866</w:t>
            </w:r>
          </w:p>
        </w:tc>
      </w:tr>
      <w:tr>
        <w:tc>
          <w:tcPr>
            <w:tcW w:type="dxa" w:w="2800"/>
            <w:vAlign w:val="center"/>
          </w:tcPr>
          <w:p>
            <w:pPr>
              <w:spacing w:after="40"/>
            </w:pPr>
            <w:r>
              <w:rPr>
                <w:sz w:val="18"/>
              </w:rPr>
              <w:t>Spanish/Romance</w:t>
            </w:r>
          </w:p>
        </w:tc>
        <w:tc>
          <w:tcPr>
            <w:tcW w:type="dxa" w:w="1500"/>
            <w:vAlign w:val="center"/>
          </w:tcPr>
          <w:p>
            <w:pPr>
              <w:spacing w:after="40"/>
            </w:pPr>
            <w:r>
              <w:rPr>
                <w:sz w:val="18"/>
              </w:rPr>
              <w:t>−4.6475</w:t>
            </w:r>
          </w:p>
        </w:tc>
        <w:tc>
          <w:tcPr>
            <w:tcW w:type="dxa" w:w="1500"/>
            <w:vAlign w:val="center"/>
          </w:tcPr>
          <w:p>
            <w:pPr>
              <w:spacing w:after="40"/>
            </w:pPr>
            <w:r>
              <w:rPr>
                <w:sz w:val="18"/>
              </w:rPr>
              <w:t>−4.6919</w:t>
            </w:r>
          </w:p>
        </w:tc>
        <w:tc>
          <w:tcPr>
            <w:tcW w:type="dxa" w:w="1600"/>
            <w:vAlign w:val="center"/>
          </w:tcPr>
          <w:p>
            <w:pPr>
              <w:spacing w:after="40"/>
            </w:pPr>
            <w:r>
              <w:rPr>
                <w:sz w:val="18"/>
              </w:rPr>
              <w:t>0.2222</w:t>
            </w:r>
          </w:p>
        </w:tc>
        <w:tc>
          <w:tcPr>
            <w:tcW w:type="dxa" w:w="1600"/>
            <w:vAlign w:val="center"/>
          </w:tcPr>
          <w:p>
            <w:pPr>
              <w:spacing w:after="40"/>
            </w:pPr>
            <w:r>
              <w:rPr>
                <w:sz w:val="18"/>
              </w:rPr>
              <w:t>0.4179</w:t>
            </w:r>
          </w:p>
        </w:tc>
      </w:tr>
    </w:tbl>
    <w:tbl>
      <w:tblPr>
        <w:tblStyle w:val="TableGrid"/>
        <w:tblW w:type="dxa" w:w="8900"/>
        <w:jc w:val="center"/>
        <w:tblLayout w:type="fixed"/>
        <w:tblLook w:firstColumn="1" w:firstRow="1" w:lastColumn="0" w:lastRow="0" w:noHBand="0" w:noVBand="1" w:val="04A0"/>
      </w:tblPr>
      <w:tblGrid>
        <w:gridCol w:w="3000"/>
        <w:gridCol w:w="1800"/>
        <w:gridCol w:w="2700"/>
        <w:gridCol w:w="1400"/>
      </w:tblGrid>
      <w:tr>
        <w:tc>
          <w:tcPr>
            <w:tcW w:type="dxa" w:w="3000"/>
            <w:shd w:fill="E8EEF5"/>
          </w:tcPr>
          <w:p>
            <w:pPr>
              <w:keepNext/>
            </w:pPr>
            <w:r>
              <w:rPr>
                <w:b/>
                <w:sz w:val="18"/>
              </w:rPr>
              <w:t>Weighted-stream morphology</w:t>
            </w:r>
          </w:p>
        </w:tc>
        <w:tc>
          <w:tcPr>
            <w:tcW w:type="dxa" w:w="1800"/>
            <w:shd w:fill="E8EEF5"/>
          </w:tcPr>
          <w:p>
            <w:pPr>
              <w:keepNext/>
            </w:pPr>
            <w:r>
              <w:rPr>
                <w:b/>
                <w:sz w:val="18"/>
              </w:rPr>
              <w:t>Observed</w:t>
            </w:r>
          </w:p>
        </w:tc>
        <w:tc>
          <w:tcPr>
            <w:tcW w:type="dxa" w:w="2700"/>
            <w:shd w:fill="E8EEF5"/>
          </w:tcPr>
          <w:p>
            <w:pPr>
              <w:keepNext/>
            </w:pPr>
            <w:r>
              <w:rPr>
                <w:b/>
                <w:sz w:val="18"/>
              </w:rPr>
              <w:t>Matched suffix controls</w:t>
            </w:r>
          </w:p>
        </w:tc>
        <w:tc>
          <w:tcPr>
            <w:tcW w:type="dxa" w:w="1400"/>
            <w:shd w:fill="E8EEF5"/>
          </w:tcPr>
          <w:p>
            <w:pPr>
              <w:keepNext/>
            </w:pPr>
            <w:r>
              <w:rPr>
                <w:b/>
                <w:sz w:val="18"/>
              </w:rPr>
              <w:t>Result</w:t>
            </w:r>
          </w:p>
        </w:tc>
      </w:tr>
      <w:tr>
        <w:tc>
          <w:tcPr>
            <w:tcW w:type="dxa" w:w="3000"/>
            <w:vAlign w:val="center"/>
          </w:tcPr>
          <w:p>
            <w:pPr>
              <w:keepLines/>
              <w:spacing w:after="40"/>
            </w:pPr>
            <w:r>
              <w:rPr>
                <w:sz w:val="18"/>
              </w:rPr>
              <w:t>-y/-ain shared stems</w:t>
            </w:r>
          </w:p>
        </w:tc>
        <w:tc>
          <w:tcPr>
            <w:tcW w:type="dxa" w:w="1800"/>
            <w:vAlign w:val="center"/>
          </w:tcPr>
          <w:p>
            <w:pPr>
              <w:keepLines/>
              <w:spacing w:after="40"/>
            </w:pPr>
            <w:r>
              <w:rPr>
                <w:sz w:val="18"/>
              </w:rPr>
              <w:t>52</w:t>
            </w:r>
          </w:p>
        </w:tc>
        <w:tc>
          <w:tcPr>
            <w:tcW w:type="dxa" w:w="2700"/>
            <w:vAlign w:val="center"/>
          </w:tcPr>
          <w:p>
            <w:pPr>
              <w:keepLines/>
              <w:spacing w:after="40"/>
            </w:pPr>
            <w:r>
              <w:rPr>
                <w:sz w:val="18"/>
              </w:rPr>
              <w:t>103 frequency-shaped suffix-pair controls</w:t>
            </w:r>
          </w:p>
        </w:tc>
        <w:tc>
          <w:tcPr>
            <w:tcW w:type="dxa" w:w="1400"/>
            <w:vAlign w:val="center"/>
          </w:tcPr>
          <w:p>
            <w:pPr>
              <w:keepLines/>
              <w:spacing w:after="40"/>
            </w:pPr>
            <w:r>
              <w:rPr>
                <w:sz w:val="18"/>
              </w:rPr>
              <w:t>p≈0.1635</w:t>
            </w:r>
          </w:p>
        </w:tc>
      </w:tr>
      <w:tr>
        <w:tc>
          <w:tcPr>
            <w:tcW w:type="dxa" w:w="3000"/>
            <w:vAlign w:val="center"/>
          </w:tcPr>
          <w:p>
            <w:pPr>
              <w:spacing w:after="40"/>
            </w:pPr>
            <w:r>
              <w:rPr>
                <w:sz w:val="18"/>
              </w:rPr>
              <w:t>Weighted paired occurrences</w:t>
            </w:r>
          </w:p>
        </w:tc>
        <w:tc>
          <w:tcPr>
            <w:tcW w:type="dxa" w:w="1800"/>
            <w:vAlign w:val="center"/>
          </w:tcPr>
          <w:p>
            <w:pPr>
              <w:spacing w:after="40"/>
            </w:pPr>
            <w:r>
              <w:rPr>
                <w:sz w:val="18"/>
              </w:rPr>
              <w:t>272</w:t>
            </w:r>
          </w:p>
        </w:tc>
        <w:tc>
          <w:tcPr>
            <w:tcW w:type="dxa" w:w="2700"/>
            <w:vAlign w:val="center"/>
          </w:tcPr>
          <w:p>
            <w:pPr>
              <w:spacing w:after="40"/>
            </w:pPr>
            <w:r>
              <w:rPr>
                <w:sz w:val="18"/>
              </w:rPr>
              <w:t>Same controls</w:t>
            </w:r>
          </w:p>
        </w:tc>
        <w:tc>
          <w:tcPr>
            <w:tcW w:type="dxa" w:w="1400"/>
            <w:vAlign w:val="center"/>
          </w:tcPr>
          <w:p>
            <w:pPr>
              <w:spacing w:after="40"/>
            </w:pPr>
            <w:r>
              <w:rPr>
                <w:sz w:val="18"/>
              </w:rPr>
              <w:t>p≈0.1058</w:t>
            </w:r>
          </w:p>
        </w:tc>
      </w:tr>
    </w:tbl>
    <w:p>
      <w:r>
        <w:t>The v1.0 weights increased coverage but decreased specificity. None of the five language hypotheses separated from shuffled fitting; none aligned with illustration classes better than permutation nulls; and -y/-ain remained within the range of native Voynich suffix systems. The earlier nominal English illustration result disappeared completely. Thus these particular proposed weights do not unlock a semantic layer under the tested one-to-one mappings.</w:t>
      </w:r>
    </w:p>
    <w:p>
      <w:r>
        <w:t>The test also exposes one remaining degree of freedom: the screenshots specify weights and preferences but no acceptance threshold or exact mathematical rule for “preferred.” The 0.60 threshold and hard preference gates were frozen before fitting. Any future threshold sweep must correct for testing the full sweep rather than reporting only its best setting.</w:t>
      </w:r>
    </w:p>
    <w:p>
      <w:pPr>
        <w:pStyle w:val="Heading2"/>
      </w:pPr>
      <w:r>
        <w:t>14.10 Full ABAD → constrained mapping → ZD30 cascade</w:t>
      </w:r>
    </w:p>
    <w:p>
      <w:r>
        <w:t>The final architecture enforced the proposed causal order. ABAD v1.0 generated the structure-locked stream; English, Latin/medical, French, Italian, and Spanish mappings were fitted only within that stream; ZD30 then acted solely as a held-out temporal validator. No mapping was allowed to redefine ABAD membership or use raw-text language optimization.</w:t>
      </w:r>
    </w:p>
    <w:p>
      <w:r>
        <w:t>Because the supplied ZD30 materials name validation concepts without publishing complete equations, the following rules were frozen before scoring: held-out recurrence was mean adjacent-folio type-set Jaccard similarity; its null used 2,000 page permutations matched within illustration class and stream-length quartile; phase consistency was the correlation between forward and reversed twelve-lock recurrence profiles; the uncertainty floor required a mapping to beat equally optimized shuffled controls at p&lt;0.05; and Adaptive Safeguard required every mapping, temporal, lock-family, and corrected illustration gate to pass.</w:t>
      </w:r>
    </w:p>
    <w:tbl>
      <w:tblPr>
        <w:tblStyle w:val="TableGrid"/>
        <w:tblW w:type="dxa" w:w="9000"/>
        <w:jc w:val="center"/>
        <w:tblLayout w:type="fixed"/>
        <w:tblLook w:firstColumn="1" w:firstRow="1" w:lastColumn="0" w:lastRow="0" w:noHBand="0" w:noVBand="1" w:val="04A0"/>
      </w:tblPr>
      <w:tblGrid>
        <w:gridCol w:w="3000"/>
        <w:gridCol w:w="1900"/>
        <w:gridCol w:w="2900"/>
        <w:gridCol w:w="1200"/>
      </w:tblGrid>
      <w:tr>
        <w:tc>
          <w:tcPr>
            <w:tcW w:type="dxa" w:w="3000"/>
            <w:shd w:fill="E8EEF5"/>
          </w:tcPr>
          <w:p>
            <w:pPr>
              <w:keepNext/>
            </w:pPr>
            <w:r>
              <w:rPr>
                <w:b/>
                <w:sz w:val="18"/>
              </w:rPr>
              <w:t>ZD30 validation component</w:t>
            </w:r>
          </w:p>
        </w:tc>
        <w:tc>
          <w:tcPr>
            <w:tcW w:type="dxa" w:w="1900"/>
            <w:shd w:fill="E8EEF5"/>
          </w:tcPr>
          <w:p>
            <w:pPr>
              <w:keepNext/>
            </w:pPr>
            <w:r>
              <w:rPr>
                <w:b/>
                <w:sz w:val="18"/>
              </w:rPr>
              <w:t>Observed</w:t>
            </w:r>
          </w:p>
        </w:tc>
        <w:tc>
          <w:tcPr>
            <w:tcW w:type="dxa" w:w="2900"/>
            <w:shd w:fill="E8EEF5"/>
          </w:tcPr>
          <w:p>
            <w:pPr>
              <w:keepNext/>
            </w:pPr>
            <w:r>
              <w:rPr>
                <w:b/>
                <w:sz w:val="18"/>
              </w:rPr>
              <w:t>Matched-null result</w:t>
            </w:r>
          </w:p>
        </w:tc>
        <w:tc>
          <w:tcPr>
            <w:tcW w:type="dxa" w:w="1200"/>
            <w:shd w:fill="E8EEF5"/>
          </w:tcPr>
          <w:p>
            <w:pPr>
              <w:keepNext/>
            </w:pPr>
            <w:r>
              <w:rPr>
                <w:b/>
                <w:sz w:val="18"/>
              </w:rPr>
              <w:t>Decision</w:t>
            </w:r>
          </w:p>
        </w:tc>
      </w:tr>
      <w:tr>
        <w:tc>
          <w:tcPr>
            <w:tcW w:type="dxa" w:w="3000"/>
            <w:vAlign w:val="center"/>
          </w:tcPr>
          <w:p>
            <w:pPr>
              <w:keepLines/>
              <w:spacing w:after="40"/>
            </w:pPr>
            <w:r>
              <w:rPr>
                <w:sz w:val="18"/>
              </w:rPr>
              <w:t>Held-out adjacent-folio recurrence</w:t>
            </w:r>
          </w:p>
        </w:tc>
        <w:tc>
          <w:tcPr>
            <w:tcW w:type="dxa" w:w="1900"/>
            <w:vAlign w:val="center"/>
          </w:tcPr>
          <w:p>
            <w:pPr>
              <w:keepLines/>
              <w:spacing w:after="40"/>
            </w:pPr>
            <w:r>
              <w:rPr>
                <w:sz w:val="18"/>
              </w:rPr>
              <w:t>0.06042</w:t>
            </w:r>
          </w:p>
        </w:tc>
        <w:tc>
          <w:tcPr>
            <w:tcW w:type="dxa" w:w="2900"/>
            <w:vAlign w:val="center"/>
          </w:tcPr>
          <w:p>
            <w:pPr>
              <w:keepLines/>
              <w:spacing w:after="40"/>
            </w:pPr>
            <w:r>
              <w:rPr>
                <w:sz w:val="18"/>
              </w:rPr>
              <w:t>Null mean 0.05705; p≈0.1214</w:t>
            </w:r>
          </w:p>
        </w:tc>
        <w:tc>
          <w:tcPr>
            <w:tcW w:type="dxa" w:w="1200"/>
            <w:vAlign w:val="center"/>
          </w:tcPr>
          <w:p>
            <w:pPr>
              <w:keepLines/>
              <w:spacing w:after="40"/>
            </w:pPr>
            <w:r>
              <w:rPr>
                <w:sz w:val="18"/>
              </w:rPr>
              <w:t>Fail</w:t>
            </w:r>
          </w:p>
        </w:tc>
      </w:tr>
      <w:tr>
        <w:tc>
          <w:tcPr>
            <w:tcW w:type="dxa" w:w="3000"/>
            <w:vAlign w:val="center"/>
          </w:tcPr>
          <w:p>
            <w:pPr>
              <w:spacing w:after="40"/>
            </w:pPr>
            <w:r>
              <w:rPr>
                <w:sz w:val="18"/>
              </w:rPr>
              <w:t>Twelve-lock recurrence composite</w:t>
            </w:r>
          </w:p>
        </w:tc>
        <w:tc>
          <w:tcPr>
            <w:tcW w:type="dxa" w:w="1900"/>
            <w:vAlign w:val="center"/>
          </w:tcPr>
          <w:p>
            <w:pPr>
              <w:spacing w:after="40"/>
            </w:pPr>
            <w:r>
              <w:rPr>
                <w:sz w:val="18"/>
              </w:rPr>
              <w:t>0.01328</w:t>
            </w:r>
          </w:p>
        </w:tc>
        <w:tc>
          <w:tcPr>
            <w:tcW w:type="dxa" w:w="2900"/>
            <w:vAlign w:val="center"/>
          </w:tcPr>
          <w:p>
            <w:pPr>
              <w:spacing w:after="40"/>
            </w:pPr>
            <w:r>
              <w:rPr>
                <w:sz w:val="18"/>
              </w:rPr>
              <w:t>Shape-matched mean 0.01164; p≈0.2214</w:t>
            </w:r>
          </w:p>
        </w:tc>
        <w:tc>
          <w:tcPr>
            <w:tcW w:type="dxa" w:w="1200"/>
            <w:vAlign w:val="center"/>
          </w:tcPr>
          <w:p>
            <w:pPr>
              <w:spacing w:after="40"/>
            </w:pPr>
            <w:r>
              <w:rPr>
                <w:sz w:val="18"/>
              </w:rPr>
              <w:t>Fail</w:t>
            </w:r>
          </w:p>
        </w:tc>
      </w:tr>
      <w:tr>
        <w:tc>
          <w:tcPr>
            <w:tcW w:type="dxa" w:w="3000"/>
            <w:vAlign w:val="center"/>
          </w:tcPr>
          <w:p>
            <w:pPr>
              <w:spacing w:after="40"/>
            </w:pPr>
            <w:r>
              <w:rPr>
                <w:sz w:val="18"/>
              </w:rPr>
              <w:t>Forward/reverse phase correlation</w:t>
            </w:r>
          </w:p>
        </w:tc>
        <w:tc>
          <w:tcPr>
            <w:tcW w:type="dxa" w:w="1900"/>
            <w:vAlign w:val="center"/>
          </w:tcPr>
          <w:p>
            <w:pPr>
              <w:spacing w:after="40"/>
            </w:pPr>
            <w:r>
              <w:rPr>
                <w:sz w:val="18"/>
              </w:rPr>
              <w:t>1.000</w:t>
            </w:r>
          </w:p>
        </w:tc>
        <w:tc>
          <w:tcPr>
            <w:tcW w:type="dxa" w:w="2900"/>
            <w:vAlign w:val="center"/>
          </w:tcPr>
          <w:p>
            <w:pPr>
              <w:spacing w:after="40"/>
            </w:pPr>
            <w:r>
              <w:rPr>
                <w:sz w:val="18"/>
              </w:rPr>
              <w:t>Identically 1 under exact-recurrence reversal</w:t>
            </w:r>
          </w:p>
        </w:tc>
        <w:tc>
          <w:tcPr>
            <w:tcW w:type="dxa" w:w="1200"/>
            <w:vAlign w:val="center"/>
          </w:tcPr>
          <w:p>
            <w:pPr>
              <w:spacing w:after="40"/>
            </w:pPr>
            <w:r>
              <w:rPr>
                <w:sz w:val="18"/>
              </w:rPr>
              <w:t>No test</w:t>
            </w:r>
          </w:p>
        </w:tc>
      </w:tr>
      <w:tr>
        <w:tc>
          <w:tcPr>
            <w:tcW w:type="dxa" w:w="3000"/>
            <w:vAlign w:val="center"/>
          </w:tcPr>
          <w:p>
            <w:pPr>
              <w:spacing w:after="40"/>
            </w:pPr>
            <w:r>
              <w:rPr>
                <w:sz w:val="18"/>
              </w:rPr>
              <w:t>Mapping uncertainty floor</w:t>
            </w:r>
          </w:p>
        </w:tc>
        <w:tc>
          <w:tcPr>
            <w:tcW w:type="dxa" w:w="1900"/>
            <w:vAlign w:val="center"/>
          </w:tcPr>
          <w:p>
            <w:pPr>
              <w:spacing w:after="40"/>
            </w:pPr>
            <w:r>
              <w:rPr>
                <w:sz w:val="18"/>
              </w:rPr>
              <w:t>Best mapping p≈0.2222</w:t>
            </w:r>
          </w:p>
        </w:tc>
        <w:tc>
          <w:tcPr>
            <w:tcW w:type="dxa" w:w="2900"/>
            <w:vAlign w:val="center"/>
          </w:tcPr>
          <w:p>
            <w:pPr>
              <w:spacing w:after="40"/>
            </w:pPr>
            <w:r>
              <w:rPr>
                <w:sz w:val="18"/>
              </w:rPr>
              <w:t>Required p&lt;0.05</w:t>
            </w:r>
          </w:p>
        </w:tc>
        <w:tc>
          <w:tcPr>
            <w:tcW w:type="dxa" w:w="1200"/>
            <w:vAlign w:val="center"/>
          </w:tcPr>
          <w:p>
            <w:pPr>
              <w:spacing w:after="40"/>
            </w:pPr>
            <w:r>
              <w:rPr>
                <w:sz w:val="18"/>
              </w:rPr>
              <w:t>Fail</w:t>
            </w:r>
          </w:p>
        </w:tc>
      </w:tr>
      <w:tr>
        <w:tc>
          <w:tcPr>
            <w:tcW w:type="dxa" w:w="3000"/>
            <w:vAlign w:val="center"/>
          </w:tcPr>
          <w:p>
            <w:pPr>
              <w:spacing w:after="40"/>
            </w:pPr>
            <w:r>
              <w:rPr>
                <w:sz w:val="18"/>
              </w:rPr>
              <w:t>Corrected illustration gate</w:t>
            </w:r>
          </w:p>
        </w:tc>
        <w:tc>
          <w:tcPr>
            <w:tcW w:type="dxa" w:w="1900"/>
            <w:vAlign w:val="center"/>
          </w:tcPr>
          <w:p>
            <w:pPr>
              <w:spacing w:after="40"/>
            </w:pPr>
            <w:r>
              <w:rPr>
                <w:sz w:val="18"/>
              </w:rPr>
              <w:t>No candidate passed</w:t>
            </w:r>
          </w:p>
        </w:tc>
        <w:tc>
          <w:tcPr>
            <w:tcW w:type="dxa" w:w="2900"/>
            <w:vAlign w:val="center"/>
          </w:tcPr>
          <w:p>
            <w:pPr>
              <w:spacing w:after="40"/>
            </w:pPr>
            <w:r>
              <w:rPr>
                <w:sz w:val="18"/>
              </w:rPr>
              <w:t>Required corrected p&lt;0.05</w:t>
            </w:r>
          </w:p>
        </w:tc>
        <w:tc>
          <w:tcPr>
            <w:tcW w:type="dxa" w:w="1200"/>
            <w:vAlign w:val="center"/>
          </w:tcPr>
          <w:p>
            <w:pPr>
              <w:spacing w:after="40"/>
            </w:pPr>
            <w:r>
              <w:rPr>
                <w:sz w:val="18"/>
              </w:rPr>
              <w:t>Fail</w:t>
            </w:r>
          </w:p>
        </w:tc>
      </w:tr>
    </w:tbl>
    <w:p>
      <w:r>
        <w:t>A preliminary unrestricted page shuffle produced an apparently strong temporal result. That control was invalid because adjacent Voynich folios cluster by illustration section and stream length. Once those factors were preserved, the temporal effect fell to p≈0.1214. This demonstrates the Adaptive Safeguard functioning as intended: it blocks a signal caused by manuscript organization rather than decoded meaning.</w:t>
      </w:r>
    </w:p>
    <w:tbl>
      <w:tblPr>
        <w:tblStyle w:val="TableGrid"/>
        <w:tblW w:type="dxa" w:w="9300"/>
        <w:jc w:val="center"/>
        <w:tblLayout w:type="fixed"/>
        <w:tblLook w:firstColumn="1" w:firstRow="1" w:lastColumn="0" w:lastRow="0" w:noHBand="0" w:noVBand="1" w:val="04A0"/>
      </w:tblPr>
      <w:tblGrid>
        <w:gridCol w:w="2200"/>
        <w:gridCol w:w="1400"/>
        <w:gridCol w:w="1400"/>
        <w:gridCol w:w="1300"/>
        <w:gridCol w:w="1500"/>
        <w:gridCol w:w="1500"/>
      </w:tblGrid>
      <w:tr>
        <w:tc>
          <w:tcPr>
            <w:tcW w:type="dxa" w:w="2200"/>
            <w:shd w:fill="E8EEF5"/>
          </w:tcPr>
          <w:p>
            <w:pPr>
              <w:keepNext/>
            </w:pPr>
            <w:r>
              <w:rPr>
                <w:b/>
                <w:sz w:val="18"/>
              </w:rPr>
              <w:t>Surface hypothesis</w:t>
            </w:r>
          </w:p>
        </w:tc>
        <w:tc>
          <w:tcPr>
            <w:tcW w:type="dxa" w:w="1400"/>
            <w:shd w:fill="E8EEF5"/>
          </w:tcPr>
          <w:p>
            <w:pPr>
              <w:keepNext/>
            </w:pPr>
            <w:r>
              <w:rPr>
                <w:b/>
                <w:sz w:val="18"/>
              </w:rPr>
              <w:t>Mapping floor</w:t>
            </w:r>
          </w:p>
        </w:tc>
        <w:tc>
          <w:tcPr>
            <w:tcW w:type="dxa" w:w="1400"/>
            <w:shd w:fill="E8EEF5"/>
          </w:tcPr>
          <w:p>
            <w:pPr>
              <w:keepNext/>
            </w:pPr>
            <w:r>
              <w:rPr>
                <w:b/>
                <w:sz w:val="18"/>
              </w:rPr>
              <w:t>Temporal gate</w:t>
            </w:r>
          </w:p>
        </w:tc>
        <w:tc>
          <w:tcPr>
            <w:tcW w:type="dxa" w:w="1300"/>
            <w:shd w:fill="E8EEF5"/>
          </w:tcPr>
          <w:p>
            <w:pPr>
              <w:keepNext/>
            </w:pPr>
            <w:r>
              <w:rPr>
                <w:b/>
                <w:sz w:val="18"/>
              </w:rPr>
              <w:t>Lock gate</w:t>
            </w:r>
          </w:p>
        </w:tc>
        <w:tc>
          <w:tcPr>
            <w:tcW w:type="dxa" w:w="1500"/>
            <w:shd w:fill="E8EEF5"/>
          </w:tcPr>
          <w:p>
            <w:pPr>
              <w:keepNext/>
            </w:pPr>
            <w:r>
              <w:rPr>
                <w:b/>
                <w:sz w:val="18"/>
              </w:rPr>
              <w:t>Illustration gate</w:t>
            </w:r>
          </w:p>
        </w:tc>
        <w:tc>
          <w:tcPr>
            <w:tcW w:type="dxa" w:w="1500"/>
            <w:shd w:fill="E8EEF5"/>
          </w:tcPr>
          <w:p>
            <w:pPr>
              <w:keepNext/>
            </w:pPr>
            <w:r>
              <w:rPr>
                <w:b/>
                <w:sz w:val="18"/>
              </w:rPr>
              <w:t>Adaptive Safeguard</w:t>
            </w:r>
          </w:p>
        </w:tc>
      </w:tr>
      <w:tr>
        <w:tc>
          <w:tcPr>
            <w:tcW w:type="dxa" w:w="2200"/>
            <w:vAlign w:val="center"/>
          </w:tcPr>
          <w:p>
            <w:pPr>
              <w:keepLines/>
              <w:spacing w:after="40"/>
            </w:pPr>
            <w:r>
              <w:rPr>
                <w:sz w:val="18"/>
              </w:rPr>
              <w:t>English</w:t>
            </w:r>
          </w:p>
        </w:tc>
        <w:tc>
          <w:tcPr>
            <w:tcW w:type="dxa" w:w="1400"/>
            <w:vAlign w:val="center"/>
          </w:tcPr>
          <w:p>
            <w:pPr>
              <w:keepLines/>
              <w:spacing w:after="40"/>
            </w:pPr>
            <w:r>
              <w:rPr>
                <w:sz w:val="18"/>
              </w:rPr>
              <w:t>Fail</w:t>
            </w:r>
          </w:p>
        </w:tc>
        <w:tc>
          <w:tcPr>
            <w:tcW w:type="dxa" w:w="1400"/>
            <w:vAlign w:val="center"/>
          </w:tcPr>
          <w:p>
            <w:pPr>
              <w:keepLines/>
              <w:spacing w:after="40"/>
            </w:pPr>
            <w:r>
              <w:rPr>
                <w:sz w:val="18"/>
              </w:rPr>
              <w:t>Fail</w:t>
            </w:r>
          </w:p>
        </w:tc>
        <w:tc>
          <w:tcPr>
            <w:tcW w:type="dxa" w:w="1300"/>
            <w:vAlign w:val="center"/>
          </w:tcPr>
          <w:p>
            <w:pPr>
              <w:keepLines/>
              <w:spacing w:after="40"/>
            </w:pPr>
            <w:r>
              <w:rPr>
                <w:sz w:val="18"/>
              </w:rPr>
              <w:t>Fail</w:t>
            </w:r>
          </w:p>
        </w:tc>
        <w:tc>
          <w:tcPr>
            <w:tcW w:type="dxa" w:w="1500"/>
            <w:vAlign w:val="center"/>
          </w:tcPr>
          <w:p>
            <w:pPr>
              <w:keepLines/>
              <w:spacing w:after="40"/>
            </w:pPr>
            <w:r>
              <w:rPr>
                <w:sz w:val="18"/>
              </w:rPr>
              <w:t>Fail</w:t>
            </w:r>
          </w:p>
        </w:tc>
        <w:tc>
          <w:tcPr>
            <w:tcW w:type="dxa" w:w="1500"/>
            <w:vAlign w:val="center"/>
          </w:tcPr>
          <w:p>
            <w:pPr>
              <w:keepLines/>
              <w:spacing w:after="40"/>
            </w:pPr>
            <w:r>
              <w:rPr>
                <w:sz w:val="18"/>
              </w:rPr>
              <w:t>Reject</w:t>
            </w:r>
          </w:p>
        </w:tc>
      </w:tr>
      <w:tr>
        <w:tc>
          <w:tcPr>
            <w:tcW w:type="dxa" w:w="2200"/>
            <w:vAlign w:val="center"/>
          </w:tcPr>
          <w:p>
            <w:pPr>
              <w:spacing w:after="40"/>
            </w:pPr>
            <w:r>
              <w:rPr>
                <w:sz w:val="18"/>
              </w:rPr>
              <w:t>Latin/medical</w:t>
            </w:r>
          </w:p>
        </w:tc>
        <w:tc>
          <w:tcPr>
            <w:tcW w:type="dxa" w:w="1400"/>
            <w:vAlign w:val="center"/>
          </w:tcPr>
          <w:p>
            <w:pPr>
              <w:spacing w:after="40"/>
            </w:pPr>
            <w:r>
              <w:rPr>
                <w:sz w:val="18"/>
              </w:rPr>
              <w:t>Fail</w:t>
            </w:r>
          </w:p>
        </w:tc>
        <w:tc>
          <w:tcPr>
            <w:tcW w:type="dxa" w:w="1400"/>
            <w:vAlign w:val="center"/>
          </w:tcPr>
          <w:p>
            <w:pPr>
              <w:spacing w:after="40"/>
            </w:pPr>
            <w:r>
              <w:rPr>
                <w:sz w:val="18"/>
              </w:rPr>
              <w:t>Fail</w:t>
            </w:r>
          </w:p>
        </w:tc>
        <w:tc>
          <w:tcPr>
            <w:tcW w:type="dxa" w:w="1300"/>
            <w:vAlign w:val="center"/>
          </w:tcPr>
          <w:p>
            <w:pPr>
              <w:spacing w:after="40"/>
            </w:pPr>
            <w:r>
              <w:rPr>
                <w:sz w:val="18"/>
              </w:rPr>
              <w:t>Fail</w:t>
            </w:r>
          </w:p>
        </w:tc>
        <w:tc>
          <w:tcPr>
            <w:tcW w:type="dxa" w:w="1500"/>
            <w:vAlign w:val="center"/>
          </w:tcPr>
          <w:p>
            <w:pPr>
              <w:spacing w:after="40"/>
            </w:pPr>
            <w:r>
              <w:rPr>
                <w:sz w:val="18"/>
              </w:rPr>
              <w:t>Fail</w:t>
            </w:r>
          </w:p>
        </w:tc>
        <w:tc>
          <w:tcPr>
            <w:tcW w:type="dxa" w:w="1500"/>
            <w:vAlign w:val="center"/>
          </w:tcPr>
          <w:p>
            <w:pPr>
              <w:spacing w:after="40"/>
            </w:pPr>
            <w:r>
              <w:rPr>
                <w:sz w:val="18"/>
              </w:rPr>
              <w:t>Reject</w:t>
            </w:r>
          </w:p>
        </w:tc>
      </w:tr>
      <w:tr>
        <w:tc>
          <w:tcPr>
            <w:tcW w:type="dxa" w:w="2200"/>
            <w:vAlign w:val="center"/>
          </w:tcPr>
          <w:p>
            <w:pPr>
              <w:spacing w:after="40"/>
            </w:pPr>
            <w:r>
              <w:rPr>
                <w:sz w:val="18"/>
              </w:rPr>
              <w:t>French</w:t>
            </w:r>
          </w:p>
        </w:tc>
        <w:tc>
          <w:tcPr>
            <w:tcW w:type="dxa" w:w="1400"/>
            <w:vAlign w:val="center"/>
          </w:tcPr>
          <w:p>
            <w:pPr>
              <w:spacing w:after="40"/>
            </w:pPr>
            <w:r>
              <w:rPr>
                <w:sz w:val="18"/>
              </w:rPr>
              <w:t>Fail</w:t>
            </w:r>
          </w:p>
        </w:tc>
        <w:tc>
          <w:tcPr>
            <w:tcW w:type="dxa" w:w="1400"/>
            <w:vAlign w:val="center"/>
          </w:tcPr>
          <w:p>
            <w:pPr>
              <w:spacing w:after="40"/>
            </w:pPr>
            <w:r>
              <w:rPr>
                <w:sz w:val="18"/>
              </w:rPr>
              <w:t>Fail</w:t>
            </w:r>
          </w:p>
        </w:tc>
        <w:tc>
          <w:tcPr>
            <w:tcW w:type="dxa" w:w="1300"/>
            <w:vAlign w:val="center"/>
          </w:tcPr>
          <w:p>
            <w:pPr>
              <w:spacing w:after="40"/>
            </w:pPr>
            <w:r>
              <w:rPr>
                <w:sz w:val="18"/>
              </w:rPr>
              <w:t>Fail</w:t>
            </w:r>
          </w:p>
        </w:tc>
        <w:tc>
          <w:tcPr>
            <w:tcW w:type="dxa" w:w="1500"/>
            <w:vAlign w:val="center"/>
          </w:tcPr>
          <w:p>
            <w:pPr>
              <w:spacing w:after="40"/>
            </w:pPr>
            <w:r>
              <w:rPr>
                <w:sz w:val="18"/>
              </w:rPr>
              <w:t>Fail</w:t>
            </w:r>
          </w:p>
        </w:tc>
        <w:tc>
          <w:tcPr>
            <w:tcW w:type="dxa" w:w="1500"/>
            <w:vAlign w:val="center"/>
          </w:tcPr>
          <w:p>
            <w:pPr>
              <w:spacing w:after="40"/>
            </w:pPr>
            <w:r>
              <w:rPr>
                <w:sz w:val="18"/>
              </w:rPr>
              <w:t>Reject</w:t>
            </w:r>
          </w:p>
        </w:tc>
      </w:tr>
      <w:tr>
        <w:tc>
          <w:tcPr>
            <w:tcW w:type="dxa" w:w="2200"/>
            <w:vAlign w:val="center"/>
          </w:tcPr>
          <w:p>
            <w:pPr>
              <w:spacing w:after="40"/>
            </w:pPr>
            <w:r>
              <w:rPr>
                <w:sz w:val="18"/>
              </w:rPr>
              <w:t>Italian</w:t>
            </w:r>
          </w:p>
        </w:tc>
        <w:tc>
          <w:tcPr>
            <w:tcW w:type="dxa" w:w="1400"/>
            <w:vAlign w:val="center"/>
          </w:tcPr>
          <w:p>
            <w:pPr>
              <w:spacing w:after="40"/>
            </w:pPr>
            <w:r>
              <w:rPr>
                <w:sz w:val="18"/>
              </w:rPr>
              <w:t>Fail</w:t>
            </w:r>
          </w:p>
        </w:tc>
        <w:tc>
          <w:tcPr>
            <w:tcW w:type="dxa" w:w="1400"/>
            <w:vAlign w:val="center"/>
          </w:tcPr>
          <w:p>
            <w:pPr>
              <w:spacing w:after="40"/>
            </w:pPr>
            <w:r>
              <w:rPr>
                <w:sz w:val="18"/>
              </w:rPr>
              <w:t>Fail</w:t>
            </w:r>
          </w:p>
        </w:tc>
        <w:tc>
          <w:tcPr>
            <w:tcW w:type="dxa" w:w="1300"/>
            <w:vAlign w:val="center"/>
          </w:tcPr>
          <w:p>
            <w:pPr>
              <w:spacing w:after="40"/>
            </w:pPr>
            <w:r>
              <w:rPr>
                <w:sz w:val="18"/>
              </w:rPr>
              <w:t>Fail</w:t>
            </w:r>
          </w:p>
        </w:tc>
        <w:tc>
          <w:tcPr>
            <w:tcW w:type="dxa" w:w="1500"/>
            <w:vAlign w:val="center"/>
          </w:tcPr>
          <w:p>
            <w:pPr>
              <w:spacing w:after="40"/>
            </w:pPr>
            <w:r>
              <w:rPr>
                <w:sz w:val="18"/>
              </w:rPr>
              <w:t>Fail</w:t>
            </w:r>
          </w:p>
        </w:tc>
        <w:tc>
          <w:tcPr>
            <w:tcW w:type="dxa" w:w="1500"/>
            <w:vAlign w:val="center"/>
          </w:tcPr>
          <w:p>
            <w:pPr>
              <w:spacing w:after="40"/>
            </w:pPr>
            <w:r>
              <w:rPr>
                <w:sz w:val="18"/>
              </w:rPr>
              <w:t>Reject</w:t>
            </w:r>
          </w:p>
        </w:tc>
      </w:tr>
      <w:tr>
        <w:tc>
          <w:tcPr>
            <w:tcW w:type="dxa" w:w="2200"/>
            <w:vAlign w:val="center"/>
          </w:tcPr>
          <w:p>
            <w:pPr>
              <w:spacing w:after="40"/>
            </w:pPr>
            <w:r>
              <w:rPr>
                <w:sz w:val="18"/>
              </w:rPr>
              <w:t>Spanish</w:t>
            </w:r>
          </w:p>
        </w:tc>
        <w:tc>
          <w:tcPr>
            <w:tcW w:type="dxa" w:w="1400"/>
            <w:vAlign w:val="center"/>
          </w:tcPr>
          <w:p>
            <w:pPr>
              <w:spacing w:after="40"/>
            </w:pPr>
            <w:r>
              <w:rPr>
                <w:sz w:val="18"/>
              </w:rPr>
              <w:t>Fail</w:t>
            </w:r>
          </w:p>
        </w:tc>
        <w:tc>
          <w:tcPr>
            <w:tcW w:type="dxa" w:w="1400"/>
            <w:vAlign w:val="center"/>
          </w:tcPr>
          <w:p>
            <w:pPr>
              <w:spacing w:after="40"/>
            </w:pPr>
            <w:r>
              <w:rPr>
                <w:sz w:val="18"/>
              </w:rPr>
              <w:t>Fail</w:t>
            </w:r>
          </w:p>
        </w:tc>
        <w:tc>
          <w:tcPr>
            <w:tcW w:type="dxa" w:w="1300"/>
            <w:vAlign w:val="center"/>
          </w:tcPr>
          <w:p>
            <w:pPr>
              <w:spacing w:after="40"/>
            </w:pPr>
            <w:r>
              <w:rPr>
                <w:sz w:val="18"/>
              </w:rPr>
              <w:t>Fail</w:t>
            </w:r>
          </w:p>
        </w:tc>
        <w:tc>
          <w:tcPr>
            <w:tcW w:type="dxa" w:w="1500"/>
            <w:vAlign w:val="center"/>
          </w:tcPr>
          <w:p>
            <w:pPr>
              <w:spacing w:after="40"/>
            </w:pPr>
            <w:r>
              <w:rPr>
                <w:sz w:val="18"/>
              </w:rPr>
              <w:t>Fail</w:t>
            </w:r>
          </w:p>
        </w:tc>
        <w:tc>
          <w:tcPr>
            <w:tcW w:type="dxa" w:w="1500"/>
            <w:vAlign w:val="center"/>
          </w:tcPr>
          <w:p>
            <w:pPr>
              <w:spacing w:after="40"/>
            </w:pPr>
            <w:r>
              <w:rPr>
                <w:sz w:val="18"/>
              </w:rPr>
              <w:t>Reject</w:t>
            </w:r>
          </w:p>
        </w:tc>
      </w:tr>
    </w:tbl>
    <w:p>
      <w:r>
        <w:t>The cascade did not fully decrypt the manuscript. It did, however, sharpen the diagnosis. ZD30 exact-token recurrence is invariant under any injective character substitution, just like source stem recurrence; it can validate temporal organization but cannot choose between English and Latin mappings. For ZD30 to discriminate surface readings, its temporal statistic must operate on mapping-dependent units—such as explicitly expanded abbreviations, semantic classes, or predicted grammatical states—whose rules are frozen before the held-out folios are opened.</w:t>
      </w:r>
    </w:p>
    <w:p>
      <w:pPr>
        <w:pStyle w:val="Heading1"/>
        <w:pageBreakBefore/>
        <w:ind w:left="0" w:firstLine="0"/>
      </w:pPr>
      <w:r>
        <w:t>15. Integrated Findings</w:t>
      </w:r>
    </w:p>
    <w:tbl>
      <w:tblPr>
        <w:tblStyle w:val="TableGrid"/>
        <w:tblW w:type="dxa" w:w="8800"/>
        <w:jc w:val="center"/>
        <w:tblLayout w:type="fixed"/>
        <w:tblLook w:firstColumn="1" w:firstRow="1" w:lastColumn="0" w:lastRow="0" w:noHBand="0" w:noVBand="1" w:val="04A0"/>
      </w:tblPr>
      <w:tblGrid>
        <w:gridCol w:w="2800"/>
        <w:gridCol w:w="4300"/>
        <w:gridCol w:w="1700"/>
      </w:tblGrid>
      <w:tr>
        <w:tc>
          <w:tcPr>
            <w:tcW w:type="dxa" w:w="2800"/>
            <w:shd w:fill="E8EEF5"/>
          </w:tcPr>
          <w:p>
            <w:pPr>
              <w:keepNext/>
            </w:pPr>
            <w:r>
              <w:rPr>
                <w:b/>
                <w:sz w:val="18"/>
              </w:rPr>
              <w:t>Claim</w:t>
            </w:r>
          </w:p>
        </w:tc>
        <w:tc>
          <w:tcPr>
            <w:tcW w:type="dxa" w:w="4300"/>
            <w:shd w:fill="E8EEF5"/>
          </w:tcPr>
          <w:p>
            <w:pPr>
              <w:keepNext/>
            </w:pPr>
            <w:r>
              <w:rPr>
                <w:b/>
                <w:sz w:val="18"/>
              </w:rPr>
              <w:t>Evidence after testing</w:t>
            </w:r>
          </w:p>
        </w:tc>
        <w:tc>
          <w:tcPr>
            <w:tcW w:type="dxa" w:w="1700"/>
            <w:shd w:fill="E8EEF5"/>
          </w:tcPr>
          <w:p>
            <w:pPr>
              <w:keepNext/>
            </w:pPr>
            <w:r>
              <w:rPr>
                <w:b/>
                <w:sz w:val="18"/>
              </w:rPr>
              <w:t>Status</w:t>
            </w:r>
          </w:p>
        </w:tc>
      </w:tr>
      <w:tr>
        <w:tc>
          <w:tcPr>
            <w:tcW w:type="dxa" w:w="2800"/>
            <w:vAlign w:val="center"/>
          </w:tcPr>
          <w:p>
            <w:pPr>
              <w:keepLines/>
              <w:spacing w:after="40"/>
            </w:pPr>
            <w:r>
              <w:rPr>
                <w:sz w:val="18"/>
              </w:rPr>
              <w:t>Voynichese contains non-random structure</w:t>
            </w:r>
          </w:p>
        </w:tc>
        <w:tc>
          <w:tcPr>
            <w:tcW w:type="dxa" w:w="4300"/>
            <w:vAlign w:val="center"/>
          </w:tcPr>
          <w:p>
            <w:pPr>
              <w:keepLines/>
              <w:spacing w:after="40"/>
            </w:pPr>
            <w:r>
              <w:rPr>
                <w:sz w:val="18"/>
              </w:rPr>
              <w:t>Strong local recurrence and constrained morphology.</w:t>
            </w:r>
          </w:p>
        </w:tc>
        <w:tc>
          <w:tcPr>
            <w:tcW w:type="dxa" w:w="1700"/>
            <w:vAlign w:val="center"/>
          </w:tcPr>
          <w:p>
            <w:pPr>
              <w:keepLines/>
              <w:spacing w:after="40"/>
            </w:pPr>
            <w:r>
              <w:rPr>
                <w:sz w:val="18"/>
              </w:rPr>
              <w:t>Supported</w:t>
            </w:r>
          </w:p>
        </w:tc>
      </w:tr>
      <w:tr>
        <w:tc>
          <w:tcPr>
            <w:tcW w:type="dxa" w:w="2800"/>
            <w:vAlign w:val="center"/>
          </w:tcPr>
          <w:p>
            <w:pPr>
              <w:spacing w:after="40"/>
            </w:pPr>
            <w:r>
              <w:rPr>
                <w:sz w:val="18"/>
              </w:rPr>
              <w:t>Edge features define meaningful token families</w:t>
            </w:r>
          </w:p>
        </w:tc>
        <w:tc>
          <w:tcPr>
            <w:tcW w:type="dxa" w:w="4300"/>
            <w:vAlign w:val="center"/>
          </w:tcPr>
          <w:p>
            <w:pPr>
              <w:spacing w:after="40"/>
            </w:pPr>
            <w:r>
              <w:rPr>
                <w:sz w:val="18"/>
              </w:rPr>
              <w:t>Three stable morphological clusters were recovered.</w:t>
            </w:r>
          </w:p>
        </w:tc>
        <w:tc>
          <w:tcPr>
            <w:tcW w:type="dxa" w:w="1700"/>
            <w:vAlign w:val="center"/>
          </w:tcPr>
          <w:p>
            <w:pPr>
              <w:spacing w:after="40"/>
            </w:pPr>
            <w:r>
              <w:rPr>
                <w:sz w:val="18"/>
              </w:rPr>
              <w:t>Supported structurally</w:t>
            </w:r>
          </w:p>
        </w:tc>
      </w:tr>
      <w:tr>
        <w:tc>
          <w:tcPr>
            <w:tcW w:type="dxa" w:w="2800"/>
            <w:vAlign w:val="center"/>
          </w:tcPr>
          <w:p>
            <w:pPr>
              <w:spacing w:after="40"/>
            </w:pPr>
            <w:r>
              <w:rPr>
                <w:sz w:val="18"/>
              </w:rPr>
              <w:t>A-B-A-D is uniquely encoded</w:t>
            </w:r>
          </w:p>
        </w:tc>
        <w:tc>
          <w:tcPr>
            <w:tcW w:type="dxa" w:w="4300"/>
            <w:vAlign w:val="center"/>
          </w:tcPr>
          <w:p>
            <w:pPr>
              <w:spacing w:after="40"/>
            </w:pPr>
            <w:r>
              <w:rPr>
                <w:sz w:val="18"/>
              </w:rPr>
              <w:t>Best motif only modestly enriched and label-dependent.</w:t>
            </w:r>
          </w:p>
        </w:tc>
        <w:tc>
          <w:tcPr>
            <w:tcW w:type="dxa" w:w="1700"/>
            <w:vAlign w:val="center"/>
          </w:tcPr>
          <w:p>
            <w:pPr>
              <w:spacing w:after="40"/>
            </w:pPr>
            <w:r>
              <w:rPr>
                <w:sz w:val="18"/>
              </w:rPr>
              <w:t>Unresolved</w:t>
            </w:r>
          </w:p>
        </w:tc>
      </w:tr>
      <w:tr>
        <w:tc>
          <w:tcPr>
            <w:tcW w:type="dxa" w:w="2800"/>
            <w:vAlign w:val="center"/>
          </w:tcPr>
          <w:p>
            <w:pPr>
              <w:spacing w:after="40"/>
            </w:pPr>
            <w:r>
              <w:rPr>
                <w:sz w:val="18"/>
              </w:rPr>
              <w:t>B-stream contains readable plaintext</w:t>
            </w:r>
          </w:p>
        </w:tc>
        <w:tc>
          <w:tcPr>
            <w:tcW w:type="dxa" w:w="4300"/>
            <w:vAlign w:val="center"/>
          </w:tcPr>
          <w:p>
            <w:pPr>
              <w:spacing w:after="40"/>
            </w:pPr>
            <w:r>
              <w:rPr>
                <w:sz w:val="18"/>
              </w:rPr>
              <w:t>No fixed definition or readable output recovered.</w:t>
            </w:r>
          </w:p>
        </w:tc>
        <w:tc>
          <w:tcPr>
            <w:tcW w:type="dxa" w:w="1700"/>
            <w:vAlign w:val="center"/>
          </w:tcPr>
          <w:p>
            <w:pPr>
              <w:spacing w:after="40"/>
            </w:pPr>
            <w:r>
              <w:rPr>
                <w:sz w:val="18"/>
              </w:rPr>
              <w:t>Not supported</w:t>
            </w:r>
          </w:p>
        </w:tc>
      </w:tr>
      <w:tr>
        <w:tc>
          <w:tcPr>
            <w:tcW w:type="dxa" w:w="2800"/>
            <w:vAlign w:val="center"/>
          </w:tcPr>
          <w:p>
            <w:pPr>
              <w:spacing w:after="40"/>
            </w:pPr>
            <w:r>
              <w:rPr>
                <w:sz w:val="18"/>
              </w:rPr>
              <w:t>7 and 49 are uniquely privileged</w:t>
            </w:r>
          </w:p>
        </w:tc>
        <w:tc>
          <w:tcPr>
            <w:tcW w:type="dxa" w:w="4300"/>
            <w:vAlign w:val="center"/>
          </w:tcPr>
          <w:p>
            <w:pPr>
              <w:spacing w:after="40"/>
            </w:pPr>
            <w:r>
              <w:rPr>
                <w:sz w:val="18"/>
              </w:rPr>
              <w:t>Both were outperformed by many alternative lags.</w:t>
            </w:r>
          </w:p>
        </w:tc>
        <w:tc>
          <w:tcPr>
            <w:tcW w:type="dxa" w:w="1700"/>
            <w:vAlign w:val="center"/>
          </w:tcPr>
          <w:p>
            <w:pPr>
              <w:spacing w:after="40"/>
            </w:pPr>
            <w:r>
              <w:rPr>
                <w:sz w:val="18"/>
              </w:rPr>
              <w:t>Not supported</w:t>
            </w:r>
          </w:p>
        </w:tc>
      </w:tr>
      <w:tr>
        <w:tc>
          <w:tcPr>
            <w:tcW w:type="dxa" w:w="2800"/>
            <w:vAlign w:val="center"/>
          </w:tcPr>
          <w:p>
            <w:pPr>
              <w:spacing w:after="40"/>
            </w:pPr>
            <w:r>
              <w:rPr>
                <w:sz w:val="18"/>
              </w:rPr>
              <w:t>φ is the governing ratio</w:t>
            </w:r>
          </w:p>
        </w:tc>
        <w:tc>
          <w:tcPr>
            <w:tcW w:type="dxa" w:w="4300"/>
            <w:vAlign w:val="center"/>
          </w:tcPr>
          <w:p>
            <w:pPr>
              <w:spacing w:after="40"/>
            </w:pPr>
            <w:r>
              <w:rPr>
                <w:sz w:val="18"/>
              </w:rPr>
              <w:t>No valid unique test or matched ratio sweep supplied.</w:t>
            </w:r>
          </w:p>
        </w:tc>
        <w:tc>
          <w:tcPr>
            <w:tcW w:type="dxa" w:w="1700"/>
            <w:vAlign w:val="center"/>
          </w:tcPr>
          <w:p>
            <w:pPr>
              <w:spacing w:after="40"/>
            </w:pPr>
            <w:r>
              <w:rPr>
                <w:sz w:val="18"/>
              </w:rPr>
              <w:t>Unresolved</w:t>
            </w:r>
          </w:p>
        </w:tc>
      </w:tr>
      <w:tr>
        <w:tc>
          <w:tcPr>
            <w:tcW w:type="dxa" w:w="2800"/>
            <w:vAlign w:val="center"/>
          </w:tcPr>
          <w:p>
            <w:pPr>
              <w:spacing w:after="40"/>
            </w:pPr>
            <w:r>
              <w:rPr>
                <w:sz w:val="18"/>
              </w:rPr>
              <w:t>Aziel Sequence is a decoding key</w:t>
            </w:r>
          </w:p>
        </w:tc>
        <w:tc>
          <w:tcPr>
            <w:tcW w:type="dxa" w:w="4300"/>
            <w:vAlign w:val="center"/>
          </w:tcPr>
          <w:p>
            <w:pPr>
              <w:spacing w:after="40"/>
            </w:pPr>
            <w:r>
              <w:rPr>
                <w:sz w:val="18"/>
              </w:rPr>
              <w:t>Forward/reverse variants failed held-out language tests.</w:t>
            </w:r>
          </w:p>
        </w:tc>
        <w:tc>
          <w:tcPr>
            <w:tcW w:type="dxa" w:w="1700"/>
            <w:vAlign w:val="center"/>
          </w:tcPr>
          <w:p>
            <w:pPr>
              <w:spacing w:after="40"/>
            </w:pPr>
            <w:r>
              <w:rPr>
                <w:sz w:val="18"/>
              </w:rPr>
              <w:t>Not supported</w:t>
            </w:r>
          </w:p>
        </w:tc>
      </w:tr>
      <w:tr>
        <w:tc>
          <w:tcPr>
            <w:tcW w:type="dxa" w:w="2800"/>
            <w:vAlign w:val="center"/>
          </w:tcPr>
          <w:p>
            <w:pPr>
              <w:spacing w:after="40"/>
            </w:pPr>
            <w:r>
              <w:rPr>
                <w:sz w:val="18"/>
              </w:rPr>
              <w:t>Madhava–Leibniz is a decoding key</w:t>
            </w:r>
          </w:p>
        </w:tc>
        <w:tc>
          <w:tcPr>
            <w:tcW w:type="dxa" w:w="4300"/>
            <w:vAlign w:val="center"/>
          </w:tcPr>
          <w:p>
            <w:pPr>
              <w:spacing w:after="40"/>
            </w:pPr>
            <w:r>
              <w:rPr>
                <w:sz w:val="18"/>
              </w:rPr>
              <w:t>Weighted recurrence was null; extracted streams remained nonlinguistic.</w:t>
            </w:r>
          </w:p>
        </w:tc>
        <w:tc>
          <w:tcPr>
            <w:tcW w:type="dxa" w:w="1700"/>
            <w:vAlign w:val="center"/>
          </w:tcPr>
          <w:p>
            <w:pPr>
              <w:spacing w:after="40"/>
            </w:pPr>
            <w:r>
              <w:rPr>
                <w:sz w:val="18"/>
              </w:rPr>
              <w:t>Not supported</w:t>
            </w:r>
          </w:p>
        </w:tc>
      </w:tr>
      <w:tr>
        <w:tc>
          <w:tcPr>
            <w:tcW w:type="dxa" w:w="2800"/>
            <w:vAlign w:val="center"/>
          </w:tcPr>
          <w:p>
            <w:pPr>
              <w:spacing w:after="40"/>
            </w:pPr>
            <w:r>
              <w:rPr>
                <w:sz w:val="18"/>
              </w:rPr>
              <w:t>ZD30 multi-lock is uniquely aligned</w:t>
            </w:r>
          </w:p>
        </w:tc>
        <w:tc>
          <w:tcPr>
            <w:tcW w:type="dxa" w:w="4300"/>
            <w:vAlign w:val="center"/>
          </w:tcPr>
          <w:p>
            <w:pPr>
              <w:spacing w:after="40"/>
            </w:pPr>
            <w:r>
              <w:rPr>
                <w:sz w:val="18"/>
              </w:rPr>
              <w:t>Effect disappeared under shape-matched transformed controls.</w:t>
            </w:r>
          </w:p>
        </w:tc>
        <w:tc>
          <w:tcPr>
            <w:tcW w:type="dxa" w:w="1700"/>
            <w:vAlign w:val="center"/>
          </w:tcPr>
          <w:p>
            <w:pPr>
              <w:spacing w:after="40"/>
            </w:pPr>
            <w:r>
              <w:rPr>
                <w:sz w:val="18"/>
              </w:rPr>
              <w:t>Not supported</w:t>
            </w:r>
          </w:p>
        </w:tc>
      </w:tr>
      <w:tr>
        <w:tc>
          <w:tcPr>
            <w:tcW w:type="dxa" w:w="2800"/>
            <w:vAlign w:val="center"/>
          </w:tcPr>
          <w:p>
            <w:pPr>
              <w:spacing w:after="40"/>
            </w:pPr>
            <w:r>
              <w:rPr>
                <w:sz w:val="18"/>
              </w:rPr>
              <w:t>Cross-ledger reversal creates a privileged match</w:t>
            </w:r>
          </w:p>
        </w:tc>
        <w:tc>
          <w:tcPr>
            <w:tcW w:type="dxa" w:w="4300"/>
            <w:vAlign w:val="center"/>
          </w:tcPr>
          <w:p>
            <w:pPr>
              <w:spacing w:after="40"/>
            </w:pPr>
            <w:r>
              <w:rPr>
                <w:sz w:val="18"/>
              </w:rPr>
              <w:t>All four agreement measures were consistent with shuffled ledgers.</w:t>
            </w:r>
          </w:p>
        </w:tc>
        <w:tc>
          <w:tcPr>
            <w:tcW w:type="dxa" w:w="1700"/>
            <w:vAlign w:val="center"/>
          </w:tcPr>
          <w:p>
            <w:pPr>
              <w:spacing w:after="40"/>
            </w:pPr>
            <w:r>
              <w:rPr>
                <w:sz w:val="18"/>
              </w:rPr>
              <w:t>Not supported</w:t>
            </w:r>
          </w:p>
        </w:tc>
      </w:tr>
      <w:tr>
        <w:tc>
          <w:tcPr>
            <w:tcW w:type="dxa" w:w="2800"/>
            <w:vAlign w:val="center"/>
          </w:tcPr>
          <w:p>
            <w:pPr>
              <w:spacing w:after="40"/>
            </w:pPr>
            <w:r>
              <w:rPr>
                <w:sz w:val="18"/>
              </w:rPr>
              <w:t>Stacked system recovers English</w:t>
            </w:r>
          </w:p>
        </w:tc>
        <w:tc>
          <w:tcPr>
            <w:tcW w:type="dxa" w:w="4300"/>
            <w:vAlign w:val="center"/>
          </w:tcPr>
          <w:p>
            <w:pPr>
              <w:spacing w:after="40"/>
            </w:pPr>
            <w:r>
              <w:rPr>
                <w:sz w:val="18"/>
              </w:rPr>
              <w:t>care/caring is stable, but optimized controls also form word families and no syntax emerged.</w:t>
            </w:r>
          </w:p>
        </w:tc>
        <w:tc>
          <w:tcPr>
            <w:tcW w:type="dxa" w:w="1700"/>
            <w:vAlign w:val="center"/>
          </w:tcPr>
          <w:p>
            <w:pPr>
              <w:spacing w:after="40"/>
            </w:pPr>
            <w:r>
              <w:rPr>
                <w:sz w:val="18"/>
              </w:rPr>
              <w:t>Candidate hit; not validated</w:t>
            </w:r>
          </w:p>
        </w:tc>
      </w:tr>
      <w:tr>
        <w:tc>
          <w:tcPr>
            <w:tcW w:type="dxa" w:w="2800"/>
            <w:vAlign w:val="center"/>
          </w:tcPr>
          <w:p>
            <w:pPr>
              <w:spacing w:after="40"/>
            </w:pPr>
            <w:r>
              <w:rPr>
                <w:sz w:val="18"/>
              </w:rPr>
              <w:t>-ain is a productive suffix</w:t>
            </w:r>
          </w:p>
        </w:tc>
        <w:tc>
          <w:tcPr>
            <w:tcW w:type="dxa" w:w="4300"/>
            <w:vAlign w:val="center"/>
          </w:tcPr>
          <w:p>
            <w:pPr>
              <w:spacing w:after="40"/>
            </w:pPr>
            <w:r>
              <w:rPr>
                <w:sz w:val="18"/>
              </w:rPr>
              <w:t>It forms 192 paired stems with -y; 36 first-half pairs reconfirm in withheld pages.</w:t>
            </w:r>
          </w:p>
        </w:tc>
        <w:tc>
          <w:tcPr>
            <w:tcW w:type="dxa" w:w="1700"/>
            <w:vAlign w:val="center"/>
          </w:tcPr>
          <w:p>
            <w:pPr>
              <w:spacing w:after="40"/>
            </w:pPr>
            <w:r>
              <w:rPr>
                <w:sz w:val="18"/>
              </w:rPr>
              <w:t>Supported structurally</w:t>
            </w:r>
          </w:p>
        </w:tc>
      </w:tr>
      <w:tr>
        <w:tc>
          <w:tcPr>
            <w:tcW w:type="dxa" w:w="2800"/>
            <w:vAlign w:val="center"/>
          </w:tcPr>
          <w:p>
            <w:pPr>
              <w:spacing w:after="40"/>
            </w:pPr>
            <w:r>
              <w:rPr>
                <w:sz w:val="18"/>
              </w:rPr>
              <w:t>-ain specifically means English -ing</w:t>
            </w:r>
          </w:p>
        </w:tc>
        <w:tc>
          <w:tcPr>
            <w:tcW w:type="dxa" w:w="4300"/>
            <w:vAlign w:val="center"/>
          </w:tcPr>
          <w:p>
            <w:pPr>
              <w:spacing w:after="40"/>
            </w:pPr>
            <w:r>
              <w:rPr>
                <w:sz w:val="18"/>
              </w:rPr>
              <w:t>Comparable suffix pairs are equally or more productive; neighboring English syntax is absent.</w:t>
            </w:r>
          </w:p>
        </w:tc>
        <w:tc>
          <w:tcPr>
            <w:tcW w:type="dxa" w:w="1700"/>
            <w:vAlign w:val="center"/>
          </w:tcPr>
          <w:p>
            <w:pPr>
              <w:spacing w:after="40"/>
            </w:pPr>
            <w:r>
              <w:rPr>
                <w:sz w:val="18"/>
              </w:rPr>
              <w:t>Not established</w:t>
            </w:r>
          </w:p>
        </w:tc>
      </w:tr>
      <w:tr>
        <w:tc>
          <w:tcPr>
            <w:tcW w:type="dxa" w:w="2800"/>
            <w:vAlign w:val="center"/>
          </w:tcPr>
          <w:p>
            <w:pPr>
              <w:spacing w:after="40"/>
            </w:pPr>
            <w:r>
              <w:rPr>
                <w:sz w:val="18"/>
              </w:rPr>
              <w:t>A tested surface language passes the joint ABAD/morphology/illustration gate</w:t>
            </w:r>
          </w:p>
        </w:tc>
        <w:tc>
          <w:tcPr>
            <w:tcW w:type="dxa" w:w="4300"/>
            <w:vAlign w:val="center"/>
          </w:tcPr>
          <w:p>
            <w:pPr>
              <w:spacing w:after="40"/>
            </w:pPr>
            <w:r>
              <w:rPr>
                <w:sz w:val="18"/>
              </w:rPr>
              <w:t>No model passed the native-suffix and corrected illustration controls simultaneously.</w:t>
            </w:r>
          </w:p>
        </w:tc>
        <w:tc>
          <w:tcPr>
            <w:tcW w:type="dxa" w:w="1700"/>
            <w:vAlign w:val="center"/>
          </w:tcPr>
          <w:p>
            <w:pPr>
              <w:spacing w:after="40"/>
            </w:pPr>
            <w:r>
              <w:rPr>
                <w:sz w:val="18"/>
              </w:rPr>
              <w:t>Not supported</w:t>
            </w:r>
          </w:p>
        </w:tc>
      </w:tr>
      <w:tr>
        <w:tc>
          <w:tcPr>
            <w:tcW w:type="dxa" w:w="2800"/>
            <w:vAlign w:val="center"/>
          </w:tcPr>
          <w:p>
            <w:pPr>
              <w:spacing w:after="40"/>
            </w:pPr>
            <w:r>
              <w:rPr>
                <w:sz w:val="18"/>
              </w:rPr>
              <w:t>Proposed v1.0 numerical weights unlock the layer</w:t>
            </w:r>
          </w:p>
        </w:tc>
        <w:tc>
          <w:tcPr>
            <w:tcW w:type="dxa" w:w="4300"/>
            <w:vAlign w:val="center"/>
          </w:tcPr>
          <w:p>
            <w:pPr>
              <w:spacing w:after="40"/>
            </w:pPr>
            <w:r>
              <w:rPr>
                <w:sz w:val="18"/>
              </w:rPr>
              <w:t>They expanded coverage but no language, suffix, or illustration gate passed.</w:t>
            </w:r>
          </w:p>
        </w:tc>
        <w:tc>
          <w:tcPr>
            <w:tcW w:type="dxa" w:w="1700"/>
            <w:vAlign w:val="center"/>
          </w:tcPr>
          <w:p>
            <w:pPr>
              <w:spacing w:after="40"/>
            </w:pPr>
            <w:r>
              <w:rPr>
                <w:sz w:val="18"/>
              </w:rPr>
              <w:t>Not supported under v1.0</w:t>
            </w:r>
          </w:p>
        </w:tc>
      </w:tr>
      <w:tr>
        <w:tc>
          <w:tcPr>
            <w:tcW w:type="dxa" w:w="2800"/>
            <w:vAlign w:val="center"/>
          </w:tcPr>
          <w:p>
            <w:pPr>
              <w:spacing w:after="40"/>
            </w:pPr>
            <w:r>
              <w:rPr>
                <w:sz w:val="18"/>
              </w:rPr>
              <w:t>ABAD→mapping→ZD30 fully decrypts under current definitions</w:t>
            </w:r>
          </w:p>
        </w:tc>
        <w:tc>
          <w:tcPr>
            <w:tcW w:type="dxa" w:w="4300"/>
            <w:vAlign w:val="center"/>
          </w:tcPr>
          <w:p>
            <w:pPr>
              <w:spacing w:after="40"/>
            </w:pPr>
            <w:r>
              <w:rPr>
                <w:sz w:val="18"/>
              </w:rPr>
              <w:t>Matched temporal and lock controls failed; all Adaptive Safeguards rejected.</w:t>
            </w:r>
          </w:p>
        </w:tc>
        <w:tc>
          <w:tcPr>
            <w:tcW w:type="dxa" w:w="1700"/>
            <w:vAlign w:val="center"/>
          </w:tcPr>
          <w:p>
            <w:pPr>
              <w:spacing w:after="40"/>
            </w:pPr>
            <w:r>
              <w:rPr>
                <w:sz w:val="18"/>
              </w:rPr>
              <w:t>Not supported</w:t>
            </w:r>
          </w:p>
        </w:tc>
      </w:tr>
      <w:tr>
        <w:tc>
          <w:tcPr>
            <w:tcW w:type="dxa" w:w="2800"/>
            <w:vAlign w:val="center"/>
          </w:tcPr>
          <w:p>
            <w:pPr>
              <w:spacing w:after="40"/>
            </w:pPr>
            <w:r>
              <w:rPr>
                <w:sz w:val="18"/>
              </w:rPr>
              <w:t>All 209 pages were translated</w:t>
            </w:r>
          </w:p>
        </w:tc>
        <w:tc>
          <w:tcPr>
            <w:tcW w:type="dxa" w:w="4300"/>
            <w:vAlign w:val="center"/>
          </w:tcPr>
          <w:p>
            <w:pPr>
              <w:spacing w:after="40"/>
            </w:pPr>
            <w:r>
              <w:rPr>
                <w:sz w:val="18"/>
              </w:rPr>
              <w:t>Translation files and derivations were absent; technical papers say no plaintext.</w:t>
            </w:r>
          </w:p>
        </w:tc>
        <w:tc>
          <w:tcPr>
            <w:tcW w:type="dxa" w:w="1700"/>
            <w:vAlign w:val="center"/>
          </w:tcPr>
          <w:p>
            <w:pPr>
              <w:spacing w:after="40"/>
            </w:pPr>
            <w:r>
              <w:rPr>
                <w:sz w:val="18"/>
              </w:rPr>
              <w:t>Unsubstantiated</w:t>
            </w:r>
          </w:p>
        </w:tc>
      </w:tr>
    </w:tbl>
    <w:p>
      <w:pPr>
        <w:pStyle w:val="Heading1"/>
      </w:pPr>
      <w:r>
        <w:t>16. Implications</w:t>
      </w:r>
    </w:p>
    <w:p>
      <w:pPr>
        <w:pStyle w:val="Heading2"/>
      </w:pPr>
      <w:r>
        <w:t>16.1 Implications for ABAD</w:t>
      </w:r>
    </w:p>
    <w:p>
      <w:r>
        <w:t>ABAD is most defensible as a framework for generating and organizing structural hypotheses. Its emphasis on boundaries, edge morphology, text/label stratification, and visual layout can inform legitimate manuscript analysis. The blinded -y/-ain test strengthens this structural interpretation: recurrent stem families persist into withheld folios. To become a decipherment method, ABAD must still replace qualitative choices with numerical rules and add a semantic mechanism that is reversible and independently testable.</w:t>
      </w:r>
    </w:p>
    <w:p>
      <w:pPr>
        <w:pStyle w:val="Heading2"/>
      </w:pPr>
      <w:r>
        <w:t>16.2 Implications for harmonic analysis</w:t>
      </w:r>
    </w:p>
    <w:p>
      <w:r>
        <w:t>Searching a manuscript for favored numbers creates a substantial multiple-comparisons risk. Short lags naturally appear strong; overlapping windows mechanically generate declining similarity; and selecting φ after exploring many window definitions can inflate apparent significance. Future harmonic claims should preregister the statistic, compare φ against a dense grid of alternative ratios, preserve local dependencies in controls, and correct for the full parameter search.</w:t>
      </w:r>
    </w:p>
    <w:p>
      <w:pPr>
        <w:pStyle w:val="Heading2"/>
      </w:pPr>
      <w:r>
        <w:t>16.3 Implications for illustration anchoring</w:t>
      </w:r>
    </w:p>
    <w:p>
      <w:r>
        <w:t>Illustrations are valuable for testing a translation after it has been generated. They are not a safe mechanism for choosing the translation itself. If a plant illustration causes nearby glyphs to be rendered as “root,” “water,” or “healing,” the procedure risks describing the visible picture rather than deciphering the script. A stronger protocol would decode withheld text first and reveal its illustration only afterward.</w:t>
      </w:r>
    </w:p>
    <w:p>
      <w:pPr>
        <w:pStyle w:val="Heading2"/>
      </w:pPr>
      <w:r>
        <w:t>16.4 Implications for the Voynich question</w:t>
      </w:r>
    </w:p>
    <w:p>
      <w:r>
        <w:t>The failure of these tests does not show that the Voynich Manuscript is meaningless or forever undecipherable. It shows that this particular combination has not crossed the evidentiary threshold from pattern detection to plaintext recovery. The edge regularities and Currier-style differences remain productive research targets, but semantic claims require an independent key, bilingual anchor, predictive grammar, or another external constraint capable of selecting one reading from many possible narratives.</w:t>
      </w:r>
    </w:p>
    <w:p>
      <w:pPr>
        <w:pStyle w:val="Heading1"/>
      </w:pPr>
      <w:r>
        <w:t>17. Recommended Validation Program</w:t>
      </w:r>
    </w:p>
    <w:p>
      <w:r>
        <w:t>A credible next-generation ABAD study should be built around preregistration and blind prediction:</w:t>
      </w:r>
    </w:p>
    <w:p>
      <w:pPr>
        <w:pStyle w:val="ListBullet"/>
      </w:pPr>
      <w:r>
        <w:t>Publish an exact token classifier with feature weights, thresholds, tie-breaking, and versioned source code.</w:t>
      </w:r>
    </w:p>
    <w:p>
      <w:pPr>
        <w:pStyle w:val="ListBullet"/>
      </w:pPr>
      <w:r>
        <w:t>Define GH7, Echo_7phiK, AZL_7phiK, φ-windowing, flip detection, and middle deviation as explicit equations.</w:t>
      </w:r>
    </w:p>
    <w:p>
      <w:pPr>
        <w:pStyle w:val="ListBullet"/>
      </w:pPr>
      <w:r>
        <w:t>Separate Currier A/B, running prose, labels, circular writing, and scribal hands before model fitting.</w:t>
      </w:r>
    </w:p>
    <w:p>
      <w:pPr>
        <w:pStyle w:val="ListBullet"/>
      </w:pPr>
      <w:r>
        <w:t>Compare every nominated number and ratio against full parameter sweeps with page-preserving and Markov-preserving controls.</w:t>
      </w:r>
    </w:p>
    <w:p>
      <w:pPr>
        <w:pStyle w:val="ListBullet"/>
      </w:pPr>
      <w:r>
        <w:t>Freeze a token-to-sound or token-to-meaning mapping on training folios and publish every mapping decision.</w:t>
      </w:r>
    </w:p>
    <w:p>
      <w:pPr>
        <w:pStyle w:val="ListBullet"/>
      </w:pPr>
      <w:r>
        <w:t>Decode withheld folios without viewing their illustrations; reveal images only after the plaintext is fixed.</w:t>
      </w:r>
    </w:p>
    <w:p>
      <w:pPr>
        <w:pStyle w:val="ListBullet"/>
      </w:pPr>
      <w:r>
        <w:t>Require independent researchers to reproduce the output from the same source transcription and code.</w:t>
      </w:r>
    </w:p>
    <w:p>
      <w:pPr>
        <w:pStyle w:val="ListBullet"/>
      </w:pPr>
      <w:r>
        <w:t>Release negative results and alternative mappings, not only the most coherent narrative.</w:t>
      </w:r>
    </w:p>
    <w:p>
      <w:pPr>
        <w:pStyle w:val="Heading1"/>
      </w:pPr>
      <w:r>
        <w:t>18. Conclusion</w:t>
      </w:r>
    </w:p>
    <w:p>
      <w:r>
        <w:t>This investigation applied the ABAD methodology, the universal 7–φ–49 harmonic proposal, conventional statistical and cryptanalytic checks, the Aziel Sequence, the Madhava–Leibniz π series, Zero Dark Thirty, a stacked ABAD→harmonic→ZD30 pipeline, and the proposed reverse cross-ledger. Genuine structure was found. The frozen mapping produced a real and repeatable care/caring pair. A full decryption was not.</w:t>
      </w:r>
    </w:p>
    <w:p>
      <w:r>
        <w:t>The distinction matters. The Voynich text exhibits patterned morphology and recurrence, and the qoky/qokain family survives blind division of the manuscript. Those properties make a structural ABAD role plausible, but they do not uniquely determine English meaning. The -y/-ain relationship was not exceptional among frequency-matched Voynich suffix pairs, and the surrounding output did not become English syntax. The supplied technical ABAD papers correctly recognize this gap; the later master-decryption claim does not provide the missing algorithm or translation evidence. The research program remains potentially useful if advanced through explicit equations, controlled comparisons, blind prediction, and complete publication of code and page-level derivations.</w:t>
      </w:r>
    </w:p>
    <w:p>
      <w:pPr>
        <w:pStyle w:val="Heading1"/>
      </w:pPr>
      <w:r>
        <w:t>Appendix A. Key Numerical Results</w:t>
      </w:r>
    </w:p>
    <w:tbl>
      <w:tblPr>
        <w:tblStyle w:val="TableGrid"/>
        <w:tblW w:type="dxa" w:w="8800"/>
        <w:jc w:val="center"/>
        <w:tblLayout w:type="fixed"/>
        <w:tblLook w:firstColumn="1" w:firstRow="1" w:lastColumn="0" w:lastRow="0" w:noHBand="0" w:noVBand="1" w:val="04A0"/>
      </w:tblPr>
      <w:tblGrid>
        <w:gridCol w:w="3900"/>
        <w:gridCol w:w="4900"/>
      </w:tblGrid>
      <w:tr>
        <w:tc>
          <w:tcPr>
            <w:tcW w:type="dxa" w:w="3900"/>
            <w:shd w:fill="E8EEF5"/>
          </w:tcPr>
          <w:p>
            <w:pPr>
              <w:keepNext/>
            </w:pPr>
            <w:r>
              <w:rPr>
                <w:b/>
                <w:sz w:val="18"/>
              </w:rPr>
              <w:t>Experiment</w:t>
            </w:r>
          </w:p>
        </w:tc>
        <w:tc>
          <w:tcPr>
            <w:tcW w:type="dxa" w:w="4900"/>
            <w:shd w:fill="E8EEF5"/>
          </w:tcPr>
          <w:p>
            <w:pPr>
              <w:keepNext/>
            </w:pPr>
            <w:r>
              <w:rPr>
                <w:b/>
                <w:sz w:val="18"/>
              </w:rPr>
              <w:t>Key result</w:t>
            </w:r>
          </w:p>
        </w:tc>
      </w:tr>
      <w:tr>
        <w:tc>
          <w:tcPr>
            <w:tcW w:type="dxa" w:w="3900"/>
            <w:vAlign w:val="center"/>
          </w:tcPr>
          <w:p>
            <w:pPr>
              <w:keepLines/>
              <w:spacing w:after="40"/>
            </w:pPr>
            <w:r>
              <w:rPr>
                <w:sz w:val="18"/>
              </w:rPr>
              <w:t>Corpus</w:t>
            </w:r>
          </w:p>
        </w:tc>
        <w:tc>
          <w:tcPr>
            <w:tcW w:type="dxa" w:w="4900"/>
            <w:vAlign w:val="center"/>
          </w:tcPr>
          <w:p>
            <w:pPr>
              <w:keepLines/>
              <w:spacing w:after="40"/>
            </w:pPr>
            <w:r>
              <w:rPr>
                <w:sz w:val="18"/>
              </w:rPr>
              <w:t>≈38,800 EVA tokens; ≈8,100 types</w:t>
            </w:r>
          </w:p>
        </w:tc>
      </w:tr>
      <w:tr>
        <w:tc>
          <w:tcPr>
            <w:tcW w:type="dxa" w:w="3900"/>
            <w:vAlign w:val="center"/>
          </w:tcPr>
          <w:p>
            <w:pPr>
              <w:spacing w:after="40"/>
            </w:pPr>
            <w:r>
              <w:rPr>
                <w:sz w:val="18"/>
              </w:rPr>
              <w:t>Best A-B-A-D-shaped motif</w:t>
            </w:r>
          </w:p>
        </w:tc>
        <w:tc>
          <w:tcPr>
            <w:tcW w:type="dxa" w:w="4900"/>
            <w:vAlign w:val="center"/>
          </w:tcPr>
          <w:p>
            <w:pPr>
              <w:spacing w:after="40"/>
            </w:pPr>
            <w:r>
              <w:rPr>
                <w:sz w:val="18"/>
              </w:rPr>
              <w:t>z≈2.83 vs first-order Markov control</w:t>
            </w:r>
          </w:p>
        </w:tc>
      </w:tr>
      <w:tr>
        <w:tc>
          <w:tcPr>
            <w:tcW w:type="dxa" w:w="3900"/>
            <w:vAlign w:val="center"/>
          </w:tcPr>
          <w:p>
            <w:pPr>
              <w:spacing w:after="40"/>
            </w:pPr>
            <w:r>
              <w:rPr>
                <w:sz w:val="18"/>
              </w:rPr>
              <w:t>Lag 7</w:t>
            </w:r>
          </w:p>
        </w:tc>
        <w:tc>
          <w:tcPr>
            <w:tcW w:type="dxa" w:w="4900"/>
            <w:vAlign w:val="center"/>
          </w:tcPr>
          <w:p>
            <w:pPr>
              <w:spacing w:after="40"/>
            </w:pPr>
            <w:r>
              <w:rPr>
                <w:sz w:val="18"/>
              </w:rPr>
              <w:t>Approximately 10th–11th of 100</w:t>
            </w:r>
          </w:p>
        </w:tc>
      </w:tr>
      <w:tr>
        <w:tc>
          <w:tcPr>
            <w:tcW w:type="dxa" w:w="3900"/>
            <w:vAlign w:val="center"/>
          </w:tcPr>
          <w:p>
            <w:pPr>
              <w:spacing w:after="40"/>
            </w:pPr>
            <w:r>
              <w:rPr>
                <w:sz w:val="18"/>
              </w:rPr>
              <w:t>Lag 49</w:t>
            </w:r>
          </w:p>
        </w:tc>
        <w:tc>
          <w:tcPr>
            <w:tcW w:type="dxa" w:w="4900"/>
            <w:vAlign w:val="center"/>
          </w:tcPr>
          <w:p>
            <w:pPr>
              <w:spacing w:after="40"/>
            </w:pPr>
            <w:r>
              <w:rPr>
                <w:sz w:val="18"/>
              </w:rPr>
              <w:t>Approximately 34th–40th of 100</w:t>
            </w:r>
          </w:p>
        </w:tc>
      </w:tr>
      <w:tr>
        <w:tc>
          <w:tcPr>
            <w:tcW w:type="dxa" w:w="3900"/>
            <w:vAlign w:val="center"/>
          </w:tcPr>
          <w:p>
            <w:pPr>
              <w:spacing w:after="40"/>
            </w:pPr>
            <w:r>
              <w:rPr>
                <w:sz w:val="18"/>
              </w:rPr>
              <w:t>Aziel full-sequence composite</w:t>
            </w:r>
          </w:p>
        </w:tc>
        <w:tc>
          <w:tcPr>
            <w:tcW w:type="dxa" w:w="4900"/>
            <w:vAlign w:val="center"/>
          </w:tcPr>
          <w:p>
            <w:pPr>
              <w:spacing w:after="40"/>
            </w:pPr>
            <w:r>
              <w:rPr>
                <w:sz w:val="18"/>
              </w:rPr>
              <w:t>Nominal p≈0.0446; driven by lags 1 and 3</w:t>
            </w:r>
          </w:p>
        </w:tc>
      </w:tr>
      <w:tr>
        <w:tc>
          <w:tcPr>
            <w:tcW w:type="dxa" w:w="3900"/>
            <w:vAlign w:val="center"/>
          </w:tcPr>
          <w:p>
            <w:pPr>
              <w:spacing w:after="40"/>
            </w:pPr>
            <w:r>
              <w:rPr>
                <w:sz w:val="18"/>
              </w:rPr>
              <w:t>Aziel without 1 and 3</w:t>
            </w:r>
          </w:p>
        </w:tc>
        <w:tc>
          <w:tcPr>
            <w:tcW w:type="dxa" w:w="4900"/>
            <w:vAlign w:val="center"/>
          </w:tcPr>
          <w:p>
            <w:pPr>
              <w:spacing w:after="40"/>
            </w:pPr>
            <w:r>
              <w:rPr>
                <w:sz w:val="18"/>
              </w:rPr>
              <w:t>52.6th percentile</w:t>
            </w:r>
          </w:p>
        </w:tc>
      </w:tr>
      <w:tr>
        <w:tc>
          <w:tcPr>
            <w:tcW w:type="dxa" w:w="3900"/>
            <w:vAlign w:val="center"/>
          </w:tcPr>
          <w:p>
            <w:pPr>
              <w:spacing w:after="40"/>
            </w:pPr>
            <w:r>
              <w:rPr>
                <w:sz w:val="18"/>
              </w:rPr>
              <w:t>Aziel late terms 40/49/70</w:t>
            </w:r>
          </w:p>
        </w:tc>
        <w:tc>
          <w:tcPr>
            <w:tcW w:type="dxa" w:w="4900"/>
            <w:vAlign w:val="center"/>
          </w:tcPr>
          <w:p>
            <w:pPr>
              <w:spacing w:after="40"/>
            </w:pPr>
            <w:r>
              <w:rPr>
                <w:sz w:val="18"/>
              </w:rPr>
              <w:t>32.9th percentile</w:t>
            </w:r>
          </w:p>
        </w:tc>
      </w:tr>
      <w:tr>
        <w:tc>
          <w:tcPr>
            <w:tcW w:type="dxa" w:w="3900"/>
            <w:vAlign w:val="center"/>
          </w:tcPr>
          <w:p>
            <w:pPr>
              <w:spacing w:after="40"/>
            </w:pPr>
            <w:r>
              <w:rPr>
                <w:sz w:val="18"/>
              </w:rPr>
              <w:t>Best forward language score</w:t>
            </w:r>
          </w:p>
        </w:tc>
        <w:tc>
          <w:tcPr>
            <w:tcW w:type="dxa" w:w="4900"/>
            <w:vAlign w:val="center"/>
          </w:tcPr>
          <w:p>
            <w:pPr>
              <w:spacing w:after="40"/>
            </w:pPr>
            <w:r>
              <w:rPr>
                <w:sz w:val="18"/>
              </w:rPr>
              <w:t>≈−5.54 training; −5.86 held-out</w:t>
            </w:r>
          </w:p>
        </w:tc>
      </w:tr>
      <w:tr>
        <w:tc>
          <w:tcPr>
            <w:tcW w:type="dxa" w:w="3900"/>
            <w:vAlign w:val="center"/>
          </w:tcPr>
          <w:p>
            <w:pPr>
              <w:spacing w:after="40"/>
            </w:pPr>
            <w:r>
              <w:rPr>
                <w:sz w:val="18"/>
              </w:rPr>
              <w:t>Best reverse page-end score</w:t>
            </w:r>
          </w:p>
        </w:tc>
        <w:tc>
          <w:tcPr>
            <w:tcW w:type="dxa" w:w="4900"/>
            <w:vAlign w:val="center"/>
          </w:tcPr>
          <w:p>
            <w:pPr>
              <w:spacing w:after="40"/>
            </w:pPr>
            <w:r>
              <w:rPr>
                <w:sz w:val="18"/>
              </w:rPr>
              <w:t>−5.63 training; −5.69 held-out</w:t>
            </w:r>
          </w:p>
        </w:tc>
      </w:tr>
      <w:tr>
        <w:tc>
          <w:tcPr>
            <w:tcW w:type="dxa" w:w="3900"/>
            <w:vAlign w:val="center"/>
          </w:tcPr>
          <w:p>
            <w:pPr>
              <w:spacing w:after="40"/>
            </w:pPr>
            <w:r>
              <w:rPr>
                <w:sz w:val="18"/>
              </w:rPr>
              <w:t>Natural English reference</w:t>
            </w:r>
          </w:p>
        </w:tc>
        <w:tc>
          <w:tcPr>
            <w:tcW w:type="dxa" w:w="4900"/>
            <w:vAlign w:val="center"/>
          </w:tcPr>
          <w:p>
            <w:pPr>
              <w:spacing w:after="40"/>
            </w:pPr>
            <w:r>
              <w:rPr>
                <w:sz w:val="18"/>
              </w:rPr>
              <w:t>Approximately −3.55 to −3.64</w:t>
            </w:r>
          </w:p>
        </w:tc>
      </w:tr>
      <w:tr>
        <w:tc>
          <w:tcPr>
            <w:tcW w:type="dxa" w:w="3900"/>
            <w:vAlign w:val="center"/>
          </w:tcPr>
          <w:p>
            <w:pPr>
              <w:spacing w:after="40"/>
            </w:pPr>
            <w:r>
              <w:rPr>
                <w:sz w:val="18"/>
              </w:rPr>
              <w:t>Madhava–Leibniz weighted recurrence</w:t>
            </w:r>
          </w:p>
        </w:tc>
        <w:tc>
          <w:tcPr>
            <w:tcW w:type="dxa" w:w="4900"/>
            <w:vAlign w:val="center"/>
          </w:tcPr>
          <w:p>
            <w:pPr>
              <w:spacing w:after="40"/>
            </w:pPr>
            <w:r>
              <w:rPr>
                <w:sz w:val="18"/>
              </w:rPr>
              <w:t>p≈0.39</w:t>
            </w:r>
          </w:p>
        </w:tc>
      </w:tr>
      <w:tr>
        <w:tc>
          <w:tcPr>
            <w:tcW w:type="dxa" w:w="3900"/>
            <w:vAlign w:val="center"/>
          </w:tcPr>
          <w:p>
            <w:pPr>
              <w:spacing w:after="40"/>
            </w:pPr>
            <w:r>
              <w:rPr>
                <w:sz w:val="18"/>
              </w:rPr>
              <w:t>Best π-series held-out score</w:t>
            </w:r>
          </w:p>
        </w:tc>
        <w:tc>
          <w:tcPr>
            <w:tcW w:type="dxa" w:w="4900"/>
            <w:vAlign w:val="center"/>
          </w:tcPr>
          <w:p>
            <w:pPr>
              <w:spacing w:after="40"/>
            </w:pPr>
            <w:r>
              <w:rPr>
                <w:sz w:val="18"/>
              </w:rPr>
              <w:t>≈−5.49</w:t>
            </w:r>
          </w:p>
        </w:tc>
      </w:tr>
      <w:tr>
        <w:tc>
          <w:tcPr>
            <w:tcW w:type="dxa" w:w="3900"/>
            <w:vAlign w:val="center"/>
          </w:tcPr>
          <w:p>
            <w:pPr>
              <w:spacing w:after="40"/>
            </w:pPr>
            <w:r>
              <w:rPr>
                <w:sz w:val="18"/>
              </w:rPr>
              <w:t>ZD30 shape-matched structural test</w:t>
            </w:r>
          </w:p>
        </w:tc>
        <w:tc>
          <w:tcPr>
            <w:tcW w:type="dxa" w:w="4900"/>
            <w:vAlign w:val="center"/>
          </w:tcPr>
          <w:p>
            <w:pPr>
              <w:spacing w:after="40"/>
            </w:pPr>
            <w:r>
              <w:rPr>
                <w:sz w:val="18"/>
              </w:rPr>
              <w:t>p≈0.3121</w:t>
            </w:r>
          </w:p>
        </w:tc>
      </w:tr>
      <w:tr>
        <w:tc>
          <w:tcPr>
            <w:tcW w:type="dxa" w:w="3900"/>
            <w:vAlign w:val="center"/>
          </w:tcPr>
          <w:p>
            <w:pPr>
              <w:spacing w:after="40"/>
            </w:pPr>
            <w:r>
              <w:rPr>
                <w:sz w:val="18"/>
              </w:rPr>
              <w:t>Combined B-stream size</w:t>
            </w:r>
          </w:p>
        </w:tc>
        <w:tc>
          <w:tcPr>
            <w:tcW w:type="dxa" w:w="4900"/>
            <w:vAlign w:val="center"/>
          </w:tcPr>
          <w:p>
            <w:pPr>
              <w:spacing w:after="40"/>
            </w:pPr>
            <w:r>
              <w:rPr>
                <w:sz w:val="18"/>
              </w:rPr>
              <w:t>12,254 tokens; 31.62%</w:t>
            </w:r>
          </w:p>
        </w:tc>
      </w:tr>
      <w:tr>
        <w:tc>
          <w:tcPr>
            <w:tcW w:type="dxa" w:w="3900"/>
            <w:vAlign w:val="center"/>
          </w:tcPr>
          <w:p>
            <w:pPr>
              <w:spacing w:after="40"/>
            </w:pPr>
            <w:r>
              <w:rPr>
                <w:sz w:val="18"/>
              </w:rPr>
              <w:t>Combined shape-matched test</w:t>
            </w:r>
          </w:p>
        </w:tc>
        <w:tc>
          <w:tcPr>
            <w:tcW w:type="dxa" w:w="4900"/>
            <w:vAlign w:val="center"/>
          </w:tcPr>
          <w:p>
            <w:pPr>
              <w:spacing w:after="40"/>
            </w:pPr>
            <w:r>
              <w:rPr>
                <w:sz w:val="18"/>
              </w:rPr>
              <w:t>p≈0.4827</w:t>
            </w:r>
          </w:p>
        </w:tc>
      </w:tr>
      <w:tr>
        <w:tc>
          <w:tcPr>
            <w:tcW w:type="dxa" w:w="3900"/>
            <w:vAlign w:val="center"/>
          </w:tcPr>
          <w:p>
            <w:pPr>
              <w:spacing w:after="40"/>
            </w:pPr>
            <w:r>
              <w:rPr>
                <w:sz w:val="18"/>
              </w:rPr>
              <w:t>Best combined reverse B-stream score</w:t>
            </w:r>
          </w:p>
        </w:tc>
        <w:tc>
          <w:tcPr>
            <w:tcW w:type="dxa" w:w="4900"/>
            <w:vAlign w:val="center"/>
          </w:tcPr>
          <w:p>
            <w:pPr>
              <w:spacing w:after="40"/>
            </w:pPr>
            <w:r>
              <w:rPr>
                <w:sz w:val="18"/>
              </w:rPr>
              <w:t>−5.22 training; −5.22 held-out</w:t>
            </w:r>
          </w:p>
        </w:tc>
      </w:tr>
      <w:tr>
        <w:tc>
          <w:tcPr>
            <w:tcW w:type="dxa" w:w="3900"/>
            <w:vAlign w:val="center"/>
          </w:tcPr>
          <w:p>
            <w:pPr>
              <w:spacing w:after="40"/>
            </w:pPr>
            <w:r>
              <w:rPr>
                <w:sz w:val="18"/>
              </w:rPr>
              <w:t>Cross-ledger interleaved score</w:t>
            </w:r>
          </w:p>
        </w:tc>
        <w:tc>
          <w:tcPr>
            <w:tcW w:type="dxa" w:w="4900"/>
            <w:vAlign w:val="center"/>
          </w:tcPr>
          <w:p>
            <w:pPr>
              <w:spacing w:after="40"/>
            </w:pPr>
            <w:r>
              <w:rPr>
                <w:sz w:val="18"/>
              </w:rPr>
              <w:t>−5.1728 training; −5.3153 held-out</w:t>
            </w:r>
          </w:p>
        </w:tc>
      </w:tr>
      <w:tr>
        <w:tc>
          <w:tcPr>
            <w:tcW w:type="dxa" w:w="3900"/>
            <w:vAlign w:val="center"/>
          </w:tcPr>
          <w:p>
            <w:pPr>
              <w:spacing w:after="40"/>
            </w:pPr>
            <w:r>
              <w:rPr>
                <w:sz w:val="18"/>
              </w:rPr>
              <w:t>Cross-ledger exact agreement</w:t>
            </w:r>
          </w:p>
        </w:tc>
        <w:tc>
          <w:tcPr>
            <w:tcW w:type="dxa" w:w="4900"/>
            <w:vAlign w:val="center"/>
          </w:tcPr>
          <w:p>
            <w:pPr>
              <w:spacing w:after="40"/>
            </w:pPr>
            <w:r>
              <w:rPr>
                <w:sz w:val="18"/>
              </w:rPr>
              <w:t>0.01634; shuffled p≈0.6434</w:t>
            </w:r>
          </w:p>
        </w:tc>
      </w:tr>
      <w:tr>
        <w:tc>
          <w:tcPr>
            <w:tcW w:type="dxa" w:w="3900"/>
            <w:vAlign w:val="center"/>
          </w:tcPr>
          <w:p>
            <w:pPr>
              <w:spacing w:after="40"/>
            </w:pPr>
            <w:r>
              <w:rPr>
                <w:sz w:val="18"/>
              </w:rPr>
              <w:t>qoky / qokain under frozen map</w:t>
            </w:r>
          </w:p>
        </w:tc>
        <w:tc>
          <w:tcPr>
            <w:tcW w:type="dxa" w:w="4900"/>
            <w:vAlign w:val="center"/>
          </w:tcPr>
          <w:p>
            <w:pPr>
              <w:spacing w:after="40"/>
            </w:pPr>
            <w:r>
              <w:rPr>
                <w:sz w:val="18"/>
              </w:rPr>
              <w:t>care (144 corpus hits) / caring (277 corpus hits)</w:t>
            </w:r>
          </w:p>
        </w:tc>
      </w:tr>
      <w:tr>
        <w:tc>
          <w:tcPr>
            <w:tcW w:type="dxa" w:w="3900"/>
            <w:vAlign w:val="center"/>
          </w:tcPr>
          <w:p>
            <w:pPr>
              <w:spacing w:after="40"/>
            </w:pPr>
            <w:r>
              <w:rPr>
                <w:sz w:val="18"/>
              </w:rPr>
              <w:t>Frozen-map lexical audit</w:t>
            </w:r>
          </w:p>
        </w:tc>
        <w:tc>
          <w:tcPr>
            <w:tcW w:type="dxa" w:w="4900"/>
            <w:vAlign w:val="center"/>
          </w:tcPr>
          <w:p>
            <w:pPr>
              <w:spacing w:after="40"/>
            </w:pPr>
            <w:r>
              <w:rPr>
                <w:sz w:val="18"/>
              </w:rPr>
              <w:t>119 common-English types; random-bijection p≈0.00020</w:t>
            </w:r>
          </w:p>
        </w:tc>
      </w:tr>
      <w:tr>
        <w:tc>
          <w:tcPr>
            <w:tcW w:type="dxa" w:w="3900"/>
            <w:vAlign w:val="center"/>
          </w:tcPr>
          <w:p>
            <w:pPr>
              <w:spacing w:after="40"/>
            </w:pPr>
            <w:r>
              <w:rPr>
                <w:sz w:val="18"/>
              </w:rPr>
              <w:t>Refitted-control family test</w:t>
            </w:r>
          </w:p>
        </w:tc>
        <w:tc>
          <w:tcPr>
            <w:tcW w:type="dxa" w:w="4900"/>
            <w:vAlign w:val="center"/>
          </w:tcPr>
          <w:p>
            <w:pPr>
              <w:spacing w:after="40"/>
            </w:pPr>
            <w:r>
              <w:rPr>
                <w:sz w:val="18"/>
              </w:rPr>
              <w:t>4 families observed; shuffled-control p≈0.5806</w:t>
            </w:r>
          </w:p>
        </w:tc>
      </w:tr>
      <w:tr>
        <w:tc>
          <w:tcPr>
            <w:tcW w:type="dxa" w:w="3900"/>
            <w:vAlign w:val="center"/>
          </w:tcPr>
          <w:p>
            <w:pPr>
              <w:spacing w:after="40"/>
            </w:pPr>
            <w:r>
              <w:rPr>
                <w:sz w:val="18"/>
              </w:rPr>
              <w:t>Source -y/-ain family</w:t>
            </w:r>
          </w:p>
        </w:tc>
        <w:tc>
          <w:tcPr>
            <w:tcW w:type="dxa" w:w="4900"/>
            <w:vAlign w:val="center"/>
          </w:tcPr>
          <w:p>
            <w:pPr>
              <w:spacing w:after="40"/>
            </w:pPr>
            <w:r>
              <w:rPr>
                <w:sz w:val="18"/>
              </w:rPr>
              <w:t>192 shared stems; 1,208 weighted paired occurrences</w:t>
            </w:r>
          </w:p>
        </w:tc>
      </w:tr>
      <w:tr>
        <w:tc>
          <w:tcPr>
            <w:tcW w:type="dxa" w:w="3900"/>
            <w:vAlign w:val="center"/>
          </w:tcPr>
          <w:p>
            <w:pPr>
              <w:spacing w:after="40"/>
            </w:pPr>
            <w:r>
              <w:rPr>
                <w:sz w:val="18"/>
              </w:rPr>
              <w:t>Blind suffix-family reconfirmation</w:t>
            </w:r>
          </w:p>
        </w:tc>
        <w:tc>
          <w:tcPr>
            <w:tcW w:type="dxa" w:w="4900"/>
            <w:vAlign w:val="center"/>
          </w:tcPr>
          <w:p>
            <w:pPr>
              <w:spacing w:after="40"/>
            </w:pPr>
            <w:r>
              <w:rPr>
                <w:sz w:val="18"/>
              </w:rPr>
              <w:t>36 of 59 first-half pairs recur in held-out pages</w:t>
            </w:r>
          </w:p>
        </w:tc>
      </w:tr>
      <w:tr>
        <w:tc>
          <w:tcPr>
            <w:tcW w:type="dxa" w:w="3900"/>
            <w:vAlign w:val="center"/>
          </w:tcPr>
          <w:p>
            <w:pPr>
              <w:spacing w:after="40"/>
            </w:pPr>
            <w:r>
              <w:rPr>
                <w:sz w:val="18"/>
              </w:rPr>
              <w:t>Matched suffix controls</w:t>
            </w:r>
          </w:p>
        </w:tc>
        <w:tc>
          <w:tcPr>
            <w:tcW w:type="dxa" w:w="4900"/>
            <w:vAlign w:val="center"/>
          </w:tcPr>
          <w:p>
            <w:pPr>
              <w:spacing w:after="40"/>
            </w:pPr>
            <w:r>
              <w:rPr>
                <w:sz w:val="18"/>
              </w:rPr>
              <w:t>Shared-stem p≈0.096; reconfirmation-rate p≈0.303</w:t>
            </w:r>
          </w:p>
        </w:tc>
      </w:tr>
      <w:tr>
        <w:tc>
          <w:tcPr>
            <w:tcW w:type="dxa" w:w="3900"/>
            <w:vAlign w:val="center"/>
          </w:tcPr>
          <w:p>
            <w:pPr>
              <w:spacing w:after="40"/>
            </w:pPr>
            <w:r>
              <w:rPr>
                <w:sz w:val="18"/>
              </w:rPr>
              <w:t>Structure-locked surface test</w:t>
            </w:r>
          </w:p>
        </w:tc>
        <w:tc>
          <w:tcPr>
            <w:tcW w:type="dxa" w:w="4900"/>
            <w:vAlign w:val="center"/>
          </w:tcPr>
          <w:p>
            <w:pPr>
              <w:spacing w:after="40"/>
            </w:pPr>
            <w:r>
              <w:rPr>
                <w:sz w:val="18"/>
              </w:rPr>
              <w:t>140 training and 124 held-out A–B–A–D tokens</w:t>
            </w:r>
          </w:p>
        </w:tc>
      </w:tr>
      <w:tr>
        <w:tc>
          <w:tcPr>
            <w:tcW w:type="dxa" w:w="3900"/>
            <w:vAlign w:val="center"/>
          </w:tcPr>
          <w:p>
            <w:pPr>
              <w:spacing w:after="40"/>
            </w:pPr>
            <w:r>
              <w:rPr>
                <w:sz w:val="18"/>
              </w:rPr>
              <w:t>Best shuffled-fit results</w:t>
            </w:r>
          </w:p>
        </w:tc>
        <w:tc>
          <w:tcPr>
            <w:tcW w:type="dxa" w:w="4900"/>
            <w:vAlign w:val="center"/>
          </w:tcPr>
          <w:p>
            <w:pPr>
              <w:spacing w:after="40"/>
            </w:pPr>
            <w:r>
              <w:rPr>
                <w:sz w:val="18"/>
              </w:rPr>
              <w:t>English and Spanish p≈0.0769; others p≥0.2308</w:t>
            </w:r>
          </w:p>
        </w:tc>
      </w:tr>
      <w:tr>
        <w:tc>
          <w:tcPr>
            <w:tcW w:type="dxa" w:w="3900"/>
            <w:vAlign w:val="center"/>
          </w:tcPr>
          <w:p>
            <w:pPr>
              <w:spacing w:after="40"/>
            </w:pPr>
            <w:r>
              <w:rPr>
                <w:sz w:val="18"/>
              </w:rPr>
              <w:t>Best illustration-anchor result</w:t>
            </w:r>
          </w:p>
        </w:tc>
        <w:tc>
          <w:tcPr>
            <w:tcW w:type="dxa" w:w="4900"/>
            <w:vAlign w:val="center"/>
          </w:tcPr>
          <w:p>
            <w:pPr>
              <w:spacing w:after="40"/>
            </w:pPr>
            <w:r>
              <w:rPr>
                <w:sz w:val="18"/>
              </w:rPr>
              <w:t>English nominal p≈0.035; five-model adjusted p≈0.175</w:t>
            </w:r>
          </w:p>
        </w:tc>
      </w:tr>
      <w:tr>
        <w:tc>
          <w:tcPr>
            <w:tcW w:type="dxa" w:w="3900"/>
            <w:vAlign w:val="center"/>
          </w:tcPr>
          <w:p>
            <w:pPr>
              <w:spacing w:after="40"/>
            </w:pPr>
            <w:r>
              <w:rPr>
                <w:sz w:val="18"/>
              </w:rPr>
              <w:t>Joint ABAD/morphology/anchor decision</w:t>
            </w:r>
          </w:p>
        </w:tc>
        <w:tc>
          <w:tcPr>
            <w:tcW w:type="dxa" w:w="4900"/>
            <w:vAlign w:val="center"/>
          </w:tcPr>
          <w:p>
            <w:pPr>
              <w:spacing w:after="40"/>
            </w:pPr>
            <w:r>
              <w:rPr>
                <w:sz w:val="18"/>
              </w:rPr>
              <w:t>No surface hypothesis passed all gates</w:t>
            </w:r>
          </w:p>
        </w:tc>
      </w:tr>
      <w:tr>
        <w:tc>
          <w:tcPr>
            <w:tcW w:type="dxa" w:w="3900"/>
            <w:vAlign w:val="center"/>
          </w:tcPr>
          <w:p>
            <w:pPr>
              <w:spacing w:after="40"/>
            </w:pPr>
            <w:r>
              <w:rPr>
                <w:sz w:val="18"/>
              </w:rPr>
              <w:t>Weighted v1.0 stream</w:t>
            </w:r>
          </w:p>
        </w:tc>
        <w:tc>
          <w:tcPr>
            <w:tcW w:type="dxa" w:w="4900"/>
            <w:vAlign w:val="center"/>
          </w:tcPr>
          <w:p>
            <w:pPr>
              <w:spacing w:after="40"/>
            </w:pPr>
            <w:r>
              <w:rPr>
                <w:sz w:val="18"/>
              </w:rPr>
              <w:t>4,184 training + 3,688 held-out tokens at score threshold 0.60</w:t>
            </w:r>
          </w:p>
        </w:tc>
      </w:tr>
      <w:tr>
        <w:tc>
          <w:tcPr>
            <w:tcW w:type="dxa" w:w="3900"/>
            <w:vAlign w:val="center"/>
          </w:tcPr>
          <w:p>
            <w:pPr>
              <w:spacing w:after="40"/>
            </w:pPr>
            <w:r>
              <w:rPr>
                <w:sz w:val="18"/>
              </w:rPr>
              <w:t>Weighted v1.0 suffix controls</w:t>
            </w:r>
          </w:p>
        </w:tc>
        <w:tc>
          <w:tcPr>
            <w:tcW w:type="dxa" w:w="4900"/>
            <w:vAlign w:val="center"/>
          </w:tcPr>
          <w:p>
            <w:pPr>
              <w:spacing w:after="40"/>
            </w:pPr>
            <w:r>
              <w:rPr>
                <w:sz w:val="18"/>
              </w:rPr>
              <w:t>Shared-stem p≈0.1635; weighted-pair p≈0.1058</w:t>
            </w:r>
          </w:p>
        </w:tc>
      </w:tr>
      <w:tr>
        <w:tc>
          <w:tcPr>
            <w:tcW w:type="dxa" w:w="3900"/>
            <w:vAlign w:val="center"/>
          </w:tcPr>
          <w:p>
            <w:pPr>
              <w:spacing w:after="40"/>
            </w:pPr>
            <w:r>
              <w:rPr>
                <w:sz w:val="18"/>
              </w:rPr>
              <w:t>Weighted v1.0 surface/anchor decision</w:t>
            </w:r>
          </w:p>
        </w:tc>
        <w:tc>
          <w:tcPr>
            <w:tcW w:type="dxa" w:w="4900"/>
            <w:vAlign w:val="center"/>
          </w:tcPr>
          <w:p>
            <w:pPr>
              <w:spacing w:after="40"/>
            </w:pPr>
            <w:r>
              <w:rPr>
                <w:sz w:val="18"/>
              </w:rPr>
              <w:t>No tested language passed either corrected gate</w:t>
            </w:r>
          </w:p>
        </w:tc>
      </w:tr>
      <w:tr>
        <w:tc>
          <w:tcPr>
            <w:tcW w:type="dxa" w:w="3900"/>
            <w:vAlign w:val="center"/>
          </w:tcPr>
          <w:p>
            <w:pPr>
              <w:spacing w:after="40"/>
            </w:pPr>
            <w:r>
              <w:rPr>
                <w:sz w:val="18"/>
              </w:rPr>
              <w:t>ZD30 matched temporal recurrence</w:t>
            </w:r>
          </w:p>
        </w:tc>
        <w:tc>
          <w:tcPr>
            <w:tcW w:type="dxa" w:w="4900"/>
            <w:vAlign w:val="center"/>
          </w:tcPr>
          <w:p>
            <w:pPr>
              <w:spacing w:after="40"/>
            </w:pPr>
            <w:r>
              <w:rPr>
                <w:sz w:val="18"/>
              </w:rPr>
              <w:t>Observed 0.06042; matched-null p≈0.1214</w:t>
            </w:r>
          </w:p>
        </w:tc>
      </w:tr>
      <w:tr>
        <w:tc>
          <w:tcPr>
            <w:tcW w:type="dxa" w:w="3900"/>
            <w:vAlign w:val="center"/>
          </w:tcPr>
          <w:p>
            <w:pPr>
              <w:spacing w:after="40"/>
            </w:pPr>
            <w:r>
              <w:rPr>
                <w:sz w:val="18"/>
              </w:rPr>
              <w:t>ZD30 twelve-lock composite</w:t>
            </w:r>
          </w:p>
        </w:tc>
        <w:tc>
          <w:tcPr>
            <w:tcW w:type="dxa" w:w="4900"/>
            <w:vAlign w:val="center"/>
          </w:tcPr>
          <w:p>
            <w:pPr>
              <w:spacing w:after="40"/>
            </w:pPr>
            <w:r>
              <w:rPr>
                <w:sz w:val="18"/>
              </w:rPr>
              <w:t>Observed 0.01328; shape-matched p≈0.2214</w:t>
            </w:r>
          </w:p>
        </w:tc>
      </w:tr>
      <w:tr>
        <w:tc>
          <w:tcPr>
            <w:tcW w:type="dxa" w:w="3900"/>
            <w:vAlign w:val="center"/>
          </w:tcPr>
          <w:p>
            <w:pPr>
              <w:spacing w:after="40"/>
            </w:pPr>
            <w:r>
              <w:rPr>
                <w:sz w:val="18"/>
              </w:rPr>
              <w:t>ABAD→mapping→ZD30 Adaptive Safeguard</w:t>
            </w:r>
          </w:p>
        </w:tc>
        <w:tc>
          <w:tcPr>
            <w:tcW w:type="dxa" w:w="4900"/>
            <w:vAlign w:val="center"/>
          </w:tcPr>
          <w:p>
            <w:pPr>
              <w:spacing w:after="40"/>
            </w:pPr>
            <w:r>
              <w:rPr>
                <w:sz w:val="18"/>
              </w:rPr>
              <w:t>All five surface hypotheses rejected</w:t>
            </w:r>
          </w:p>
        </w:tc>
      </w:tr>
    </w:tbl>
    <w:p>
      <w:pPr>
        <w:pStyle w:val="Heading1"/>
      </w:pPr>
      <w:r>
        <w:t>Appendix B. Evidentiary Standard for a Full Decryption</w:t>
      </w:r>
    </w:p>
    <w:p>
      <w:r>
        <w:t>A future claim should provide a complete trace for each translated unit:</w:t>
      </w:r>
    </w:p>
    <w:p>
      <w:pPr>
        <w:jc w:val="center"/>
      </w:pPr>
      <w:r>
        <w:rPr>
          <w:b/>
          <w:color w:val="173F5F"/>
        </w:rPr>
        <w:t>English output  ↔  semantic/phonetic unit  ↔  ABAD transformation  ↔  exact IVTFF glyphs and locus</w:t>
      </w:r>
    </w:p>
    <w:p>
      <w:r>
        <w:t>The transformation must be deterministic, consistent across folios, and capable of producing correct or strongly constrained output on text that was not used to design the method.</w:t>
      </w:r>
    </w:p>
    <w:p>
      <w:pPr>
        <w:pStyle w:val="Heading1"/>
      </w:pPr>
      <w:r>
        <w:t>Appendix C. Source Note</w:t>
      </w:r>
    </w:p>
    <w:p>
      <w:r>
        <w:t>This report evaluates the materials supplied in the working session and the published EVA/IVTFF transcription used for computational testing. It is an independent technical assessment, not a peer-reviewed decipherment claim. Numerical results reflect the specified corpus normalization and should be reproduced from released code before formal publication.</w:t>
      </w:r>
    </w:p>
    <w:sectPr w:rsidR="00FC693F" w:rsidRPr="0006063C" w:rsidSect="00034616">
      <w:headerReference w:type="default" r:id="rId9"/>
      <w:footerReference w:type="default" r:id="rId10"/>
      <w:pgSz w:w="12240" w:h="15840"/>
      <w:pgMar w:top="1224"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46464"/>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5A6973"/>
        <w:sz w:val="16"/>
      </w:rPr>
      <w:t>ABAD–VOYNICH MASTER EVALUATION  |  INDEPENDENT COMPUTATIONAL REVIEW</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5D7B"/>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5D7B"/>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4" w:lineRule="auto"/>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4" w:lineRule="auto"/>
      <w:contextualSpacing/>
    </w:pPr>
    <w:rPr>
      <w:rFonts w:ascii="Calibri" w:hAnsi="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